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475F" w14:textId="245D032F" w:rsidR="006A7437" w:rsidRPr="006A7437" w:rsidRDefault="006A7437" w:rsidP="006A7437">
      <w:pPr>
        <w:rPr>
          <w:b/>
          <w:bCs/>
        </w:rPr>
      </w:pPr>
      <w:r w:rsidRPr="006A7437">
        <w:rPr>
          <w:b/>
          <w:bCs/>
        </w:rPr>
        <w:t>Veredas (1,000 Lotes)</w:t>
      </w:r>
    </w:p>
    <w:p w14:paraId="2012B72B" w14:textId="77777777" w:rsidR="006A7437" w:rsidRPr="006A7437" w:rsidRDefault="006A7437" w:rsidP="006A7437">
      <w:r w:rsidRPr="006A7437">
        <w:rPr>
          <w:b/>
          <w:bCs/>
        </w:rPr>
        <w:t>Tesis Central:</w:t>
      </w:r>
      <w:r w:rsidRPr="006A7437">
        <w:t xml:space="preserve"> Para liquidar el inventario de 1,000 lotes en el objetivo de </w:t>
      </w:r>
      <w:r w:rsidRPr="006A7437">
        <w:rPr>
          <w:b/>
          <w:bCs/>
        </w:rPr>
        <w:t>8 años</w:t>
      </w:r>
      <w:r w:rsidRPr="006A7437">
        <w:t xml:space="preserve">, se requiere una absorción sostenida de </w:t>
      </w:r>
      <w:r w:rsidRPr="006A7437">
        <w:rPr>
          <w:b/>
          <w:bCs/>
        </w:rPr>
        <w:t>10.42 lotes mensuales</w:t>
      </w:r>
      <w:r w:rsidRPr="006A7437">
        <w:t xml:space="preserve">. Esta meta se logrará concentrando el </w:t>
      </w:r>
      <w:r w:rsidRPr="006A7437">
        <w:rPr>
          <w:b/>
          <w:bCs/>
        </w:rPr>
        <w:t>90% del producto</w:t>
      </w:r>
      <w:r w:rsidRPr="006A7437">
        <w:t xml:space="preserve"> en los segmentos de mayor tracción (115–140 m²) con precios de arranque competitivos ($6,950–$7,300/m²), y aplicando una estrategia de plusvalía escalonada que combina la indexación a la inflación con la captura de plusvalía real.</w:t>
      </w:r>
    </w:p>
    <w:p w14:paraId="0909B42E" w14:textId="77777777" w:rsidR="006A7437" w:rsidRPr="006A7437" w:rsidRDefault="006A7437" w:rsidP="006A7437">
      <w:r w:rsidRPr="006A7437">
        <w:pict w14:anchorId="3B109A70">
          <v:rect id="_x0000_i1044" style="width:0;height:1.5pt" o:hralign="center" o:hrstd="t" o:hrnoshade="t" o:hr="t" fillcolor="gray" stroked="f"/>
        </w:pict>
      </w:r>
    </w:p>
    <w:p w14:paraId="54520E18" w14:textId="77777777" w:rsidR="006A7437" w:rsidRPr="006A7437" w:rsidRDefault="006A7437" w:rsidP="006A7437">
      <w:pPr>
        <w:rPr>
          <w:b/>
          <w:bCs/>
        </w:rPr>
      </w:pPr>
      <w:r w:rsidRPr="006A7437">
        <w:rPr>
          <w:b/>
          <w:bCs/>
        </w:rPr>
        <w:t>1. Diagnóstico y Fundamento de la Estrategia</w:t>
      </w:r>
    </w:p>
    <w:p w14:paraId="6AF39033" w14:textId="77777777" w:rsidR="006A7437" w:rsidRPr="006A7437" w:rsidRDefault="006A7437" w:rsidP="006A7437">
      <w:r w:rsidRPr="006A7437">
        <w:t>El análisis confirma que Veredas es un proyecto de alto valor (+86% de plusvalía real en 7 años), pero el inventario actual presenta una brecha de precio (≈46% por encima del histórico vendido) que ralentiza la absorción. La oportunidad reside en alinear la nueva oferta con las claras preferencias del mercado para acelerar el ritmo de venta sin erosionar el posicionamiento premium.</w:t>
      </w:r>
    </w:p>
    <w:p w14:paraId="1CEFDA6F" w14:textId="77777777" w:rsidR="006A7437" w:rsidRPr="006A7437" w:rsidRDefault="006A7437" w:rsidP="006A7437">
      <w:pPr>
        <w:rPr>
          <w:b/>
          <w:bCs/>
        </w:rPr>
      </w:pPr>
      <w:r w:rsidRPr="006A7437">
        <w:rPr>
          <w:b/>
          <w:bCs/>
        </w:rPr>
        <w:t>2. Objetivo Matemático y Estrategia de Producto</w:t>
      </w:r>
    </w:p>
    <w:p w14:paraId="389B8900" w14:textId="77777777" w:rsidR="006A7437" w:rsidRPr="006A7437" w:rsidRDefault="006A7437" w:rsidP="006A7437">
      <w:pPr>
        <w:numPr>
          <w:ilvl w:val="0"/>
          <w:numId w:val="1"/>
        </w:numPr>
      </w:pPr>
      <w:r w:rsidRPr="006A7437">
        <w:rPr>
          <w:b/>
          <w:bCs/>
        </w:rPr>
        <w:t>Meta de Absorción Explícita:</w:t>
      </w:r>
      <w:r w:rsidRPr="006A7437">
        <w:t xml:space="preserve"> Para cumplir el objetivo de 8 años (96 meses), la meta es:</w:t>
      </w:r>
    </w:p>
    <w:p w14:paraId="41E39313" w14:textId="6CB48CAF" w:rsidR="006A7437" w:rsidRPr="006A7437" w:rsidRDefault="006A7437" w:rsidP="006A7437">
      <m:oMathPara>
        <m:oMath>
          <m:r>
            <w:rPr>
              <w:rFonts w:ascii="Cambria Math" w:hAnsi="Cambria Math"/>
            </w:rPr>
            <m:t>Absorción Objetivo</m:t>
          </m:r>
          <m:f>
            <m:fPr>
              <m:ctrlPr>
                <w:rPr>
                  <w:rFonts w:ascii="Cambria Math" w:hAnsi="Cambria Math"/>
                  <w:i/>
                </w:rPr>
              </m:ctrlPr>
            </m:fPr>
            <m:num>
              <m:r>
                <w:rPr>
                  <w:rFonts w:ascii="Cambria Math" w:hAnsi="Cambria Math"/>
                </w:rPr>
                <m:t>1.000 Lotes</m:t>
              </m:r>
            </m:num>
            <m:den>
              <m:r>
                <w:rPr>
                  <w:rFonts w:ascii="Cambria Math" w:hAnsi="Cambria Math"/>
                </w:rPr>
                <m:t>96 Mese</m:t>
              </m:r>
            </m:den>
          </m:f>
          <m:r>
            <w:rPr>
              <w:rFonts w:ascii="Cambria Math" w:hAnsi="Cambria Math"/>
            </w:rPr>
            <m:t xml:space="preserve"> =10.42</m:t>
          </m:r>
          <m:r>
            <w:rPr>
              <w:rFonts w:ascii="Cambria Math" w:hAnsi="Cambria Math"/>
            </w:rPr>
            <m:t xml:space="preserve"> </m:t>
          </m:r>
          <m:r>
            <w:rPr>
              <w:rFonts w:ascii="Cambria Math" w:hAnsi="Cambria Math"/>
            </w:rPr>
            <m:t xml:space="preserve"> Lotes/Mes</m:t>
          </m:r>
        </m:oMath>
      </m:oMathPara>
    </w:p>
    <w:p w14:paraId="528E2415" w14:textId="13842605" w:rsidR="006A7437" w:rsidRPr="006A7437" w:rsidRDefault="006A7437" w:rsidP="006A7437">
      <w:pPr>
        <w:numPr>
          <w:ilvl w:val="0"/>
          <w:numId w:val="1"/>
        </w:numPr>
      </w:pPr>
      <w:r w:rsidRPr="006A7437">
        <w:rPr>
          <w:b/>
          <w:bCs/>
        </w:rPr>
        <w:t>Producto:</w:t>
      </w:r>
      <w:r w:rsidRPr="006A7437">
        <w:t xml:space="preserve"> Se concentra el 90% del inventario en los segmentos que la data confirma son los de mayor demanda.</w:t>
      </w:r>
    </w:p>
    <w:tbl>
      <w:tblPr>
        <w:tblW w:w="0" w:type="auto"/>
        <w:tblCellSpacing w:w="15" w:type="dxa"/>
        <w:tblCellMar>
          <w:left w:w="0" w:type="dxa"/>
          <w:right w:w="0" w:type="dxa"/>
        </w:tblCellMar>
        <w:tblLook w:val="04A0" w:firstRow="1" w:lastRow="0" w:firstColumn="1" w:lastColumn="0" w:noHBand="0" w:noVBand="1"/>
      </w:tblPr>
      <w:tblGrid>
        <w:gridCol w:w="2243"/>
        <w:gridCol w:w="2205"/>
        <w:gridCol w:w="844"/>
      </w:tblGrid>
      <w:tr w:rsidR="00A3293D" w:rsidRPr="006A7437" w14:paraId="6A1B22B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1F1DF6" w14:textId="77777777" w:rsidR="00A3293D" w:rsidRPr="006A7437" w:rsidRDefault="00A3293D" w:rsidP="006A7437">
            <w:r w:rsidRPr="006A7437">
              <w:rPr>
                <w:b/>
                <w:bCs/>
              </w:rPr>
              <w:t>Tamaño Promedio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CD684B" w14:textId="77777777" w:rsidR="00A3293D" w:rsidRPr="006A7437" w:rsidRDefault="00A3293D" w:rsidP="006A7437">
            <w:r w:rsidRPr="006A7437">
              <w:rPr>
                <w:b/>
                <w:bCs/>
              </w:rPr>
              <w:t>Cantidad de Lotes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26DDE3" w14:textId="6DDC3D1C" w:rsidR="00A3293D" w:rsidRPr="006A7437" w:rsidRDefault="00A3293D" w:rsidP="006A7437">
            <w:r w:rsidRPr="006A7437">
              <w:rPr>
                <w:b/>
                <w:bCs/>
              </w:rPr>
              <w:t xml:space="preserve">% </w:t>
            </w:r>
          </w:p>
        </w:tc>
      </w:tr>
      <w:tr w:rsidR="00A3293D" w:rsidRPr="006A7437" w14:paraId="4E02AE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95C3C9" w14:textId="77777777" w:rsidR="00A3293D" w:rsidRPr="006A7437" w:rsidRDefault="00A3293D" w:rsidP="006A7437">
            <w:r w:rsidRPr="006A7437">
              <w:t>115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84D3C1" w14:textId="77777777" w:rsidR="00A3293D" w:rsidRPr="006A7437" w:rsidRDefault="00A3293D" w:rsidP="006A7437">
            <w:r w:rsidRPr="006A7437">
              <w:t>250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BC75DE" w14:textId="77777777" w:rsidR="00A3293D" w:rsidRPr="006A7437" w:rsidRDefault="00A3293D" w:rsidP="006A7437">
            <w:r w:rsidRPr="006A7437">
              <w:t>25%</w:t>
            </w:r>
          </w:p>
        </w:tc>
      </w:tr>
      <w:tr w:rsidR="00A3293D" w:rsidRPr="006A7437" w14:paraId="6FCA15D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92245E" w14:textId="77777777" w:rsidR="00A3293D" w:rsidRPr="006A7437" w:rsidRDefault="00A3293D" w:rsidP="006A7437">
            <w:r w:rsidRPr="006A7437">
              <w:t>130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89F4B4" w14:textId="77777777" w:rsidR="00A3293D" w:rsidRPr="006A7437" w:rsidRDefault="00A3293D" w:rsidP="006A7437">
            <w:r w:rsidRPr="006A7437">
              <w:t>650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7D6CF8" w14:textId="77777777" w:rsidR="00A3293D" w:rsidRPr="006A7437" w:rsidRDefault="00A3293D" w:rsidP="006A7437">
            <w:r w:rsidRPr="006A7437">
              <w:t>65%</w:t>
            </w:r>
          </w:p>
        </w:tc>
      </w:tr>
      <w:tr w:rsidR="00A3293D" w:rsidRPr="006A7437" w14:paraId="157FC7D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90BBF9" w14:textId="77777777" w:rsidR="00A3293D" w:rsidRPr="006A7437" w:rsidRDefault="00A3293D" w:rsidP="006A7437">
            <w:r w:rsidRPr="006A7437">
              <w:t>150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882151" w14:textId="77777777" w:rsidR="00A3293D" w:rsidRPr="006A7437" w:rsidRDefault="00A3293D" w:rsidP="006A7437">
            <w:r w:rsidRPr="006A7437">
              <w:t>70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72DC72" w14:textId="77777777" w:rsidR="00A3293D" w:rsidRPr="006A7437" w:rsidRDefault="00A3293D" w:rsidP="006A7437">
            <w:r w:rsidRPr="006A7437">
              <w:t>7%</w:t>
            </w:r>
          </w:p>
        </w:tc>
      </w:tr>
      <w:tr w:rsidR="00A3293D" w:rsidRPr="006A7437" w14:paraId="7175FB6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588E3A" w14:textId="77777777" w:rsidR="00A3293D" w:rsidRPr="006A7437" w:rsidRDefault="00A3293D" w:rsidP="006A7437">
            <w:r w:rsidRPr="006A7437">
              <w:t>180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55275B" w14:textId="77777777" w:rsidR="00A3293D" w:rsidRPr="006A7437" w:rsidRDefault="00A3293D" w:rsidP="006A7437">
            <w:r w:rsidRPr="006A7437">
              <w:t>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D39133" w14:textId="77777777" w:rsidR="00A3293D" w:rsidRPr="006A7437" w:rsidRDefault="00A3293D" w:rsidP="006A7437">
            <w:r w:rsidRPr="006A7437">
              <w:t>3%</w:t>
            </w:r>
          </w:p>
        </w:tc>
      </w:tr>
    </w:tbl>
    <w:p w14:paraId="563AD996" w14:textId="77777777" w:rsidR="006A7437" w:rsidRPr="006A7437" w:rsidRDefault="006A7437" w:rsidP="006A7437">
      <w:pPr>
        <w:rPr>
          <w:b/>
          <w:bCs/>
        </w:rPr>
      </w:pPr>
      <w:r w:rsidRPr="006A7437">
        <w:rPr>
          <w:b/>
          <w:bCs/>
        </w:rPr>
        <w:t>3. Estrategia de Precios por Segmento</w:t>
      </w:r>
    </w:p>
    <w:p w14:paraId="2ABA45CE" w14:textId="77777777" w:rsidR="006A7437" w:rsidRDefault="006A7437" w:rsidP="006A7437">
      <w:r w:rsidRPr="006A7437">
        <w:t>Se establece una estructura de precios coherente que maximiza la tracción en los segmentos base y captura valor en los nichos premium.</w:t>
      </w:r>
    </w:p>
    <w:p w14:paraId="158B3B15" w14:textId="77777777" w:rsidR="00A3293D" w:rsidRDefault="00A3293D" w:rsidP="006A7437"/>
    <w:p w14:paraId="039B68FA" w14:textId="77777777" w:rsidR="00A3293D" w:rsidRDefault="00A3293D" w:rsidP="006A7437"/>
    <w:tbl>
      <w:tblPr>
        <w:tblW w:w="0" w:type="auto"/>
        <w:tblCellSpacing w:w="15" w:type="dxa"/>
        <w:tblCellMar>
          <w:left w:w="0" w:type="dxa"/>
          <w:right w:w="0" w:type="dxa"/>
        </w:tblCellMar>
        <w:tblLook w:val="04A0" w:firstRow="1" w:lastRow="0" w:firstColumn="1" w:lastColumn="0" w:noHBand="0" w:noVBand="1"/>
      </w:tblPr>
      <w:tblGrid>
        <w:gridCol w:w="2243"/>
        <w:gridCol w:w="2205"/>
        <w:gridCol w:w="844"/>
      </w:tblGrid>
      <w:tr w:rsidR="00A3293D" w:rsidRPr="006A7437" w14:paraId="5E22FF30" w14:textId="77777777" w:rsidTr="009262C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87EFCA" w14:textId="77777777" w:rsidR="00A3293D" w:rsidRPr="006A7437" w:rsidRDefault="00A3293D" w:rsidP="009262C0">
            <w:r w:rsidRPr="006A7437">
              <w:rPr>
                <w:b/>
                <w:bCs/>
              </w:rPr>
              <w:t>Tamaño Promedio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06EDBA" w14:textId="77777777" w:rsidR="00A3293D" w:rsidRPr="006A7437" w:rsidRDefault="00A3293D" w:rsidP="009262C0">
            <w:r w:rsidRPr="006A7437">
              <w:rPr>
                <w:b/>
                <w:bCs/>
              </w:rPr>
              <w:t>Cantidad de Lotes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DACE23" w14:textId="77777777" w:rsidR="00A3293D" w:rsidRPr="006A7437" w:rsidRDefault="00A3293D" w:rsidP="009262C0">
            <w:r w:rsidRPr="006A7437">
              <w:rPr>
                <w:b/>
                <w:bCs/>
              </w:rPr>
              <w:t xml:space="preserve">% </w:t>
            </w:r>
          </w:p>
        </w:tc>
      </w:tr>
      <w:tr w:rsidR="00A3293D" w:rsidRPr="006A7437" w14:paraId="3111D67E" w14:textId="77777777" w:rsidTr="009262C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A4B28B" w14:textId="77777777" w:rsidR="00A3293D" w:rsidRPr="006A7437" w:rsidRDefault="00A3293D" w:rsidP="009262C0">
            <w:r w:rsidRPr="006A7437">
              <w:t>115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628417" w14:textId="77777777" w:rsidR="00A3293D" w:rsidRPr="006A7437" w:rsidRDefault="00A3293D" w:rsidP="009262C0">
            <w:r w:rsidRPr="006A7437">
              <w:t>250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726177" w14:textId="77777777" w:rsidR="00A3293D" w:rsidRPr="006A7437" w:rsidRDefault="00A3293D" w:rsidP="009262C0">
            <w:r w:rsidRPr="006A7437">
              <w:t>25%</w:t>
            </w:r>
          </w:p>
        </w:tc>
      </w:tr>
      <w:tr w:rsidR="00A3293D" w:rsidRPr="006A7437" w14:paraId="2C3EFD20" w14:textId="77777777" w:rsidTr="009262C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5E6576" w14:textId="77777777" w:rsidR="00A3293D" w:rsidRPr="006A7437" w:rsidRDefault="00A3293D" w:rsidP="009262C0">
            <w:r w:rsidRPr="006A7437">
              <w:t>130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671080" w14:textId="77777777" w:rsidR="00A3293D" w:rsidRPr="006A7437" w:rsidRDefault="00A3293D" w:rsidP="009262C0">
            <w:r w:rsidRPr="006A7437">
              <w:t>650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F0AD8F" w14:textId="77777777" w:rsidR="00A3293D" w:rsidRPr="006A7437" w:rsidRDefault="00A3293D" w:rsidP="009262C0">
            <w:r w:rsidRPr="006A7437">
              <w:t>65%</w:t>
            </w:r>
          </w:p>
        </w:tc>
      </w:tr>
      <w:tr w:rsidR="00A3293D" w:rsidRPr="006A7437" w14:paraId="6077642F" w14:textId="77777777" w:rsidTr="009262C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81749E" w14:textId="77777777" w:rsidR="00A3293D" w:rsidRPr="006A7437" w:rsidRDefault="00A3293D" w:rsidP="009262C0">
            <w:r w:rsidRPr="006A7437">
              <w:t>150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639506" w14:textId="77777777" w:rsidR="00A3293D" w:rsidRPr="006A7437" w:rsidRDefault="00A3293D" w:rsidP="009262C0">
            <w:r w:rsidRPr="006A7437">
              <w:t>70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58CB2D" w14:textId="77777777" w:rsidR="00A3293D" w:rsidRPr="006A7437" w:rsidRDefault="00A3293D" w:rsidP="009262C0">
            <w:r w:rsidRPr="006A7437">
              <w:t>7%</w:t>
            </w:r>
          </w:p>
        </w:tc>
      </w:tr>
      <w:tr w:rsidR="00A3293D" w:rsidRPr="006A7437" w14:paraId="237EEB82" w14:textId="77777777" w:rsidTr="009262C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4B57B5" w14:textId="77777777" w:rsidR="00A3293D" w:rsidRPr="006A7437" w:rsidRDefault="00A3293D" w:rsidP="009262C0">
            <w:r w:rsidRPr="006A7437">
              <w:t>180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70A586" w14:textId="77777777" w:rsidR="00A3293D" w:rsidRPr="006A7437" w:rsidRDefault="00A3293D" w:rsidP="009262C0">
            <w:r w:rsidRPr="006A7437">
              <w:t>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8AFFAA" w14:textId="77777777" w:rsidR="00A3293D" w:rsidRPr="006A7437" w:rsidRDefault="00A3293D" w:rsidP="009262C0">
            <w:r w:rsidRPr="006A7437">
              <w:t>3%</w:t>
            </w:r>
          </w:p>
        </w:tc>
      </w:tr>
    </w:tbl>
    <w:p w14:paraId="16B646A8" w14:textId="77777777" w:rsidR="00A3293D" w:rsidRDefault="00A3293D" w:rsidP="006A7437"/>
    <w:p w14:paraId="5A58E64D" w14:textId="77777777" w:rsidR="00A3293D" w:rsidRPr="006A7437" w:rsidRDefault="00A3293D" w:rsidP="006A7437"/>
    <w:tbl>
      <w:tblPr>
        <w:tblW w:w="0" w:type="auto"/>
        <w:tblCellSpacing w:w="15" w:type="dxa"/>
        <w:tblCellMar>
          <w:left w:w="0" w:type="dxa"/>
          <w:right w:w="0" w:type="dxa"/>
        </w:tblCellMar>
        <w:tblLook w:val="04A0" w:firstRow="1" w:lastRow="0" w:firstColumn="1" w:lastColumn="0" w:noHBand="0" w:noVBand="1"/>
      </w:tblPr>
      <w:tblGrid>
        <w:gridCol w:w="2642"/>
        <w:gridCol w:w="2675"/>
        <w:gridCol w:w="2618"/>
      </w:tblGrid>
      <w:tr w:rsidR="00A3293D" w:rsidRPr="006A7437" w14:paraId="46A00C2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72F011" w14:textId="77777777" w:rsidR="00A3293D" w:rsidRPr="006A7437" w:rsidRDefault="00A3293D" w:rsidP="006A7437">
            <w:r w:rsidRPr="006A7437">
              <w:rPr>
                <w:b/>
                <w:bCs/>
              </w:rPr>
              <w:t>Segmentos Aplicables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707F51" w14:textId="77777777" w:rsidR="00A3293D" w:rsidRPr="006A7437" w:rsidRDefault="00A3293D" w:rsidP="006A7437">
            <w:r w:rsidRPr="006A7437">
              <w:rPr>
                <w:b/>
                <w:bCs/>
              </w:rPr>
              <w:t>Precio/m² de Arranque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D0F051" w14:textId="77777777" w:rsidR="00A3293D" w:rsidRPr="006A7437" w:rsidRDefault="00A3293D" w:rsidP="006A7437">
            <w:r w:rsidRPr="006A7437">
              <w:rPr>
                <w:b/>
                <w:bCs/>
              </w:rPr>
              <w:t>Precio Final Promedio</w:t>
            </w:r>
          </w:p>
        </w:tc>
      </w:tr>
      <w:tr w:rsidR="00A3293D" w:rsidRPr="006A7437" w14:paraId="688C484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2C7797" w14:textId="15A4DD8E" w:rsidR="00A3293D" w:rsidRPr="006A7437" w:rsidRDefault="00A3293D" w:rsidP="006A7437">
            <w:r w:rsidRPr="006A7437">
              <w:t>115 m² / 130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F4C44F" w14:textId="77777777" w:rsidR="00A3293D" w:rsidRPr="006A7437" w:rsidRDefault="00A3293D" w:rsidP="006A7437">
            <w:r w:rsidRPr="006A7437">
              <w:rPr>
                <w:b/>
                <w:bCs/>
              </w:rPr>
              <w:t>$6,950 – $7,300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1BC61D" w14:textId="77777777" w:rsidR="00A3293D" w:rsidRPr="006A7437" w:rsidRDefault="00A3293D" w:rsidP="006A7437">
            <w:r w:rsidRPr="006A7437">
              <w:t>$799,250 – $949,000</w:t>
            </w:r>
          </w:p>
        </w:tc>
      </w:tr>
      <w:tr w:rsidR="00A3293D" w:rsidRPr="006A7437" w14:paraId="2D089AE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FB4FF8" w14:textId="7EE279DD" w:rsidR="00A3293D" w:rsidRPr="006A7437" w:rsidRDefault="00A3293D" w:rsidP="006A7437">
            <w:r w:rsidRPr="006A7437">
              <w:t>150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37D98C" w14:textId="77777777" w:rsidR="00A3293D" w:rsidRPr="006A7437" w:rsidRDefault="00A3293D" w:rsidP="006A7437">
            <w:r w:rsidRPr="006A7437">
              <w:rPr>
                <w:b/>
                <w:bCs/>
              </w:rPr>
              <w:t>$7,500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A1C4D2" w14:textId="77777777" w:rsidR="00A3293D" w:rsidRPr="006A7437" w:rsidRDefault="00A3293D" w:rsidP="006A7437">
            <w:r w:rsidRPr="006A7437">
              <w:t>$1,125,000</w:t>
            </w:r>
          </w:p>
        </w:tc>
      </w:tr>
      <w:tr w:rsidR="00A3293D" w:rsidRPr="006A7437" w14:paraId="32D4C2A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5BCD80" w14:textId="042E7F48" w:rsidR="00A3293D" w:rsidRPr="006A7437" w:rsidRDefault="00A3293D" w:rsidP="006A7437">
            <w:r w:rsidRPr="006A7437">
              <w:t>180 m²</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E76A6A" w14:textId="77777777" w:rsidR="00A3293D" w:rsidRPr="006A7437" w:rsidRDefault="00A3293D" w:rsidP="006A7437">
            <w:r w:rsidRPr="006A7437">
              <w:rPr>
                <w:b/>
                <w:bCs/>
              </w:rPr>
              <w:t>$7,900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EA1FD9" w14:textId="77777777" w:rsidR="00A3293D" w:rsidRPr="006A7437" w:rsidRDefault="00A3293D" w:rsidP="006A7437">
            <w:r w:rsidRPr="006A7437">
              <w:t>$1,422,000</w:t>
            </w:r>
          </w:p>
        </w:tc>
      </w:tr>
    </w:tbl>
    <w:p w14:paraId="165AD880" w14:textId="77777777" w:rsidR="00A3293D" w:rsidRDefault="00A3293D" w:rsidP="006A7437">
      <w:pPr>
        <w:rPr>
          <w:b/>
          <w:bCs/>
        </w:rPr>
      </w:pPr>
    </w:p>
    <w:p w14:paraId="7B28F8C3" w14:textId="77777777" w:rsidR="00A3293D" w:rsidRDefault="00A3293D" w:rsidP="006A7437">
      <w:pPr>
        <w:rPr>
          <w:b/>
          <w:bCs/>
        </w:rPr>
      </w:pPr>
    </w:p>
    <w:p w14:paraId="273BDC54" w14:textId="36306F42" w:rsidR="006A7437" w:rsidRPr="006A7437" w:rsidRDefault="006A7437" w:rsidP="006A7437">
      <w:pPr>
        <w:rPr>
          <w:b/>
          <w:bCs/>
        </w:rPr>
      </w:pPr>
      <w:r w:rsidRPr="006A7437">
        <w:rPr>
          <w:b/>
          <w:bCs/>
        </w:rPr>
        <w:t>4. Justificación Cuantitativa: Elasticidades de la Demanda</w:t>
      </w:r>
    </w:p>
    <w:p w14:paraId="3E8058AF" w14:textId="670DE7E8" w:rsidR="006A7437" w:rsidRPr="006A7437" w:rsidRDefault="006A7437" w:rsidP="006A7437">
      <w:r w:rsidRPr="006A7437">
        <w:t>La decisión de concentrar el 90% en lotes de 115-14 m² y ajustar los precios de arranque se fundamenta en el análisis de sensibilidad de la demanda:</w:t>
      </w:r>
    </w:p>
    <w:p w14:paraId="5CD70711" w14:textId="77777777" w:rsidR="006A7437" w:rsidRPr="006A7437" w:rsidRDefault="006A7437" w:rsidP="006A7437">
      <w:pPr>
        <w:numPr>
          <w:ilvl w:val="0"/>
          <w:numId w:val="2"/>
        </w:numPr>
      </w:pPr>
      <w:r w:rsidRPr="006A7437">
        <w:rPr>
          <w:b/>
          <w:bCs/>
        </w:rPr>
        <w:t>Elasticidad-Precio (β_precio):</w:t>
      </w:r>
      <w:r w:rsidRPr="006A7437">
        <w:t xml:space="preserve"> Se estima entre </w:t>
      </w:r>
      <w:r w:rsidRPr="006A7437">
        <w:rPr>
          <w:b/>
          <w:bCs/>
        </w:rPr>
        <w:t>-0.8 y -1.2</w:t>
      </w:r>
      <w:r w:rsidRPr="006A7437">
        <w:t>. Esto significa que por cada 10% de aumento en el precio, la velocidad de venta puede disminuir entre un 8% y un 12%. Justifica la necesidad de un precio de arranque competitivo para alcanzar los 10.42 lotes/mes.</w:t>
      </w:r>
    </w:p>
    <w:p w14:paraId="4036FAAE" w14:textId="77777777" w:rsidR="006A7437" w:rsidRPr="006A7437" w:rsidRDefault="006A7437" w:rsidP="006A7437">
      <w:pPr>
        <w:numPr>
          <w:ilvl w:val="0"/>
          <w:numId w:val="2"/>
        </w:numPr>
      </w:pPr>
      <w:r w:rsidRPr="006A7437">
        <w:rPr>
          <w:b/>
          <w:bCs/>
        </w:rPr>
        <w:t>Elasticidad-Tamaño (β_tamaño):</w:t>
      </w:r>
      <w:r w:rsidRPr="006A7437">
        <w:t xml:space="preserve"> La demanda muestra una curva de "U invertida". La elasticidad es positiva (estimada en </w:t>
      </w:r>
      <w:r w:rsidRPr="006A7437">
        <w:rPr>
          <w:b/>
          <w:bCs/>
        </w:rPr>
        <w:t>+0.4</w:t>
      </w:r>
      <w:r w:rsidRPr="006A7437">
        <w:t xml:space="preserve">) para superficies hasta el </w:t>
      </w:r>
      <w:proofErr w:type="spellStart"/>
      <w:r w:rsidRPr="006A7437">
        <w:rPr>
          <w:i/>
          <w:iCs/>
        </w:rPr>
        <w:t>sweet</w:t>
      </w:r>
      <w:proofErr w:type="spellEnd"/>
      <w:r w:rsidRPr="006A7437">
        <w:rPr>
          <w:i/>
          <w:iCs/>
        </w:rPr>
        <w:t xml:space="preserve"> spot</w:t>
      </w:r>
      <w:r w:rsidRPr="006A7437">
        <w:t xml:space="preserve"> de 140 m². Por encima de este tamaño, la elasticidad se vuelve negativa, ya que el mercado potencial se reduce. Esto valida matemáticamente la concentración del inventario en los segmentos de menor tamaño.</w:t>
      </w:r>
    </w:p>
    <w:p w14:paraId="183BC772" w14:textId="77777777" w:rsidR="006A7437" w:rsidRPr="006A7437" w:rsidRDefault="006A7437" w:rsidP="006A7437">
      <w:pPr>
        <w:rPr>
          <w:b/>
          <w:bCs/>
        </w:rPr>
      </w:pPr>
      <w:r w:rsidRPr="006A7437">
        <w:rPr>
          <w:b/>
          <w:bCs/>
        </w:rPr>
        <w:lastRenderedPageBreak/>
        <w:t>5. Estrategia de Plusvalía e Indexación de Precios</w:t>
      </w:r>
    </w:p>
    <w:p w14:paraId="485F18E9" w14:textId="77777777" w:rsidR="006A7437" w:rsidRPr="006A7437" w:rsidRDefault="006A7437" w:rsidP="006A7437">
      <w:r w:rsidRPr="006A7437">
        <w:t>El mecanismo de incremento de precios combina una fórmula técnica robusta con una aplicación comercial sencilla.</w:t>
      </w:r>
    </w:p>
    <w:p w14:paraId="034B7AD7" w14:textId="77777777" w:rsidR="006A7437" w:rsidRPr="006A7437" w:rsidRDefault="006A7437" w:rsidP="006A7437">
      <w:pPr>
        <w:numPr>
          <w:ilvl w:val="0"/>
          <w:numId w:val="3"/>
        </w:numPr>
      </w:pPr>
      <w:r w:rsidRPr="006A7437">
        <w:rPr>
          <w:b/>
          <w:bCs/>
        </w:rPr>
        <w:t>Fórmula Técnica de Indexación:</w:t>
      </w:r>
      <w:r w:rsidRPr="006A7437">
        <w:t xml:space="preserve"> El valor de los lotes se actualizará respondiendo a dos fuerzas:</w:t>
      </w:r>
    </w:p>
    <w:p w14:paraId="01B43591" w14:textId="77777777" w:rsidR="006A7437" w:rsidRPr="006A7437" w:rsidRDefault="006A7437" w:rsidP="006A7437">
      <w:r w:rsidRPr="006A7437">
        <w:t>$$ Pm²_t = Pm²_0 \times (1 + \</w:t>
      </w:r>
      <w:proofErr w:type="spellStart"/>
      <w:r w:rsidRPr="006A7437">
        <w:t>text</w:t>
      </w:r>
      <w:proofErr w:type="spellEnd"/>
      <w:r w:rsidRPr="006A7437">
        <w:t>{inflación}_t) \times (1 + \</w:t>
      </w:r>
      <w:proofErr w:type="spellStart"/>
      <w:r w:rsidRPr="006A7437">
        <w:t>text</w:t>
      </w:r>
      <w:proofErr w:type="spellEnd"/>
      <w:r w:rsidRPr="006A7437">
        <w:t>{</w:t>
      </w:r>
      <w:proofErr w:type="spellStart"/>
      <w:r w:rsidRPr="006A7437">
        <w:t>plusvalía_</w:t>
      </w:r>
      <w:proofErr w:type="gramStart"/>
      <w:r w:rsidRPr="006A7437">
        <w:t>real</w:t>
      </w:r>
      <w:proofErr w:type="spellEnd"/>
      <w:r w:rsidRPr="006A7437">
        <w:t>}_t)$</w:t>
      </w:r>
      <w:proofErr w:type="gramEnd"/>
      <w:r w:rsidRPr="006A7437">
        <w:t>$</w:t>
      </w:r>
    </w:p>
    <w:p w14:paraId="7977BCA3" w14:textId="77777777" w:rsidR="006A7437" w:rsidRPr="006A7437" w:rsidRDefault="006A7437" w:rsidP="006A7437">
      <w:pPr>
        <w:numPr>
          <w:ilvl w:val="0"/>
          <w:numId w:val="3"/>
        </w:numPr>
      </w:pPr>
      <w:r w:rsidRPr="006A7437">
        <w:rPr>
          <w:b/>
          <w:bCs/>
        </w:rPr>
        <w:t>Mecanismo Comercial (Escalonamiento):</w:t>
      </w:r>
      <w:r w:rsidRPr="006A7437">
        <w:t xml:space="preserve"> Para el equipo de ventas y el mercado, esta indexación se traduce en un incremento claro y predecible del </w:t>
      </w:r>
      <w:r w:rsidRPr="006A7437">
        <w:rPr>
          <w:b/>
          <w:bCs/>
        </w:rPr>
        <w:t>+2.5% sobre el precio de lista vigente por cada bloque de 125 lotes vendidos</w:t>
      </w:r>
      <w:r w:rsidRPr="006A7437">
        <w:t>.</w:t>
      </w:r>
    </w:p>
    <w:p w14:paraId="018CBC90" w14:textId="77777777" w:rsidR="006A7437" w:rsidRPr="006A7437" w:rsidRDefault="006A7437" w:rsidP="006A7437">
      <w:r w:rsidRPr="006A7437">
        <w:rPr>
          <w:b/>
          <w:bCs/>
        </w:rPr>
        <w:t>Trayectoria de Precios Proyectada (Segmento Óptimo):</w:t>
      </w:r>
    </w:p>
    <w:p w14:paraId="0F2A9C2F" w14:textId="77777777" w:rsidR="006A7437" w:rsidRPr="006A7437" w:rsidRDefault="006A7437" w:rsidP="006A7437">
      <w:pPr>
        <w:rPr>
          <w:b/>
          <w:bCs/>
        </w:rPr>
      </w:pPr>
      <w:r w:rsidRPr="006A7437">
        <w:rPr>
          <w:b/>
          <w:bCs/>
        </w:rPr>
        <w:t>6. Estrategia Operativa: Liberación y Control de Inventario</w:t>
      </w:r>
    </w:p>
    <w:p w14:paraId="70B66F92" w14:textId="77777777" w:rsidR="006A7437" w:rsidRPr="006A7437" w:rsidRDefault="006A7437" w:rsidP="006A7437">
      <w:pPr>
        <w:numPr>
          <w:ilvl w:val="0"/>
          <w:numId w:val="4"/>
        </w:numPr>
      </w:pPr>
      <w:r w:rsidRPr="006A7437">
        <w:rPr>
          <w:b/>
          <w:bCs/>
        </w:rPr>
        <w:t>Calendario de Liberaciones:</w:t>
      </w:r>
      <w:r w:rsidRPr="006A7437">
        <w:t xml:space="preserve"> Se liberará un promedio de </w:t>
      </w:r>
      <w:r w:rsidRPr="006A7437">
        <w:rPr>
          <w:b/>
          <w:bCs/>
        </w:rPr>
        <w:t>31-32 lotes por trimestre</w:t>
      </w:r>
      <w:r w:rsidRPr="006A7437">
        <w:t>, alineado con la meta de absorción.</w:t>
      </w:r>
    </w:p>
    <w:p w14:paraId="21E317BC" w14:textId="77777777" w:rsidR="006A7437" w:rsidRPr="006A7437" w:rsidRDefault="006A7437" w:rsidP="006A7437">
      <w:pPr>
        <w:numPr>
          <w:ilvl w:val="0"/>
          <w:numId w:val="4"/>
        </w:numPr>
      </w:pPr>
      <w:r w:rsidRPr="006A7437">
        <w:rPr>
          <w:b/>
          <w:bCs/>
        </w:rPr>
        <w:t>Front-</w:t>
      </w:r>
      <w:proofErr w:type="spellStart"/>
      <w:r w:rsidRPr="006A7437">
        <w:rPr>
          <w:b/>
          <w:bCs/>
        </w:rPr>
        <w:t>loading</w:t>
      </w:r>
      <w:proofErr w:type="spellEnd"/>
      <w:r w:rsidRPr="006A7437">
        <w:rPr>
          <w:b/>
          <w:bCs/>
        </w:rPr>
        <w:t xml:space="preserve"> Estratégico:</w:t>
      </w:r>
      <w:r w:rsidRPr="006A7437">
        <w:t xml:space="preserve"> Durante los primeros 6 a 8 trimestres, se priorizará la liberación de lotes de los segmentos </w:t>
      </w:r>
      <w:r w:rsidRPr="006A7437">
        <w:rPr>
          <w:b/>
          <w:bCs/>
        </w:rPr>
        <w:t>Acceso</w:t>
      </w:r>
      <w:r w:rsidRPr="006A7437">
        <w:t xml:space="preserve"> y </w:t>
      </w:r>
      <w:r w:rsidRPr="006A7437">
        <w:rPr>
          <w:b/>
          <w:bCs/>
        </w:rPr>
        <w:t>Óptimo</w:t>
      </w:r>
      <w:r w:rsidRPr="006A7437">
        <w:t xml:space="preserve"> para construir y mantener un fuerte impulso de ventas inicial.</w:t>
      </w:r>
    </w:p>
    <w:p w14:paraId="20124185" w14:textId="77777777" w:rsidR="006A7437" w:rsidRPr="006A7437" w:rsidRDefault="006A7437" w:rsidP="006A7437">
      <w:pPr>
        <w:numPr>
          <w:ilvl w:val="0"/>
          <w:numId w:val="4"/>
        </w:numPr>
      </w:pPr>
      <w:r w:rsidRPr="006A7437">
        <w:rPr>
          <w:b/>
          <w:bCs/>
        </w:rPr>
        <w:t>KPI Operativo Clave:</w:t>
      </w:r>
      <w:r w:rsidRPr="006A7437">
        <w:t xml:space="preserve"> Se deberá mantener un stock de </w:t>
      </w:r>
      <w:r w:rsidRPr="006A7437">
        <w:rPr>
          <w:b/>
          <w:bCs/>
        </w:rPr>
        <w:t>6 a 9 meses de inventario disponible por cada segmento</w:t>
      </w:r>
      <w:r w:rsidRPr="006A7437">
        <w:t>, especialmente en las bandas de alta rotación (Acceso y Óptimo), para no perder oportunidades de venta.</w:t>
      </w:r>
    </w:p>
    <w:p w14:paraId="776843F6" w14:textId="77777777" w:rsidR="006A7437" w:rsidRPr="006A7437" w:rsidRDefault="006A7437" w:rsidP="006A7437">
      <w:pPr>
        <w:rPr>
          <w:b/>
          <w:bCs/>
        </w:rPr>
      </w:pPr>
      <w:r w:rsidRPr="006A7437">
        <w:rPr>
          <w:b/>
          <w:bCs/>
        </w:rPr>
        <w:t>7. Análisis de Sensibilidad y Planes de Contingencia</w:t>
      </w:r>
    </w:p>
    <w:p w14:paraId="76041A7E" w14:textId="77777777" w:rsidR="006A7437" w:rsidRPr="006A7437" w:rsidRDefault="006A7437" w:rsidP="006A7437">
      <w:r w:rsidRPr="006A7437">
        <w:t>La estrategia se ha sometido a pruebas de estrés para asegurar su resiliencia.</w:t>
      </w:r>
    </w:p>
    <w:p w14:paraId="167943CB" w14:textId="77777777" w:rsidR="006A7437" w:rsidRPr="006A7437" w:rsidRDefault="006A7437" w:rsidP="006A7437">
      <w:pPr>
        <w:numPr>
          <w:ilvl w:val="0"/>
          <w:numId w:val="5"/>
        </w:numPr>
      </w:pPr>
      <w:r w:rsidRPr="006A7437">
        <w:rPr>
          <w:b/>
          <w:bCs/>
        </w:rPr>
        <w:t>Sensibilidad de Variables Clave:</w:t>
      </w:r>
      <w:r w:rsidRPr="006A7437">
        <w:t xml:space="preserve"> El tiempo para liquidar el inventario es más sensible a variaciones en el </w:t>
      </w:r>
      <w:r w:rsidRPr="006A7437">
        <w:rPr>
          <w:b/>
          <w:bCs/>
        </w:rPr>
        <w:t>Precio por m²</w:t>
      </w:r>
      <w:r w:rsidRPr="006A7437">
        <w:t xml:space="preserve"> y en la </w:t>
      </w:r>
      <w:r w:rsidRPr="006A7437">
        <w:rPr>
          <w:b/>
          <w:bCs/>
        </w:rPr>
        <w:t xml:space="preserve">concentración del </w:t>
      </w:r>
      <w:proofErr w:type="spellStart"/>
      <w:r w:rsidRPr="006A7437">
        <w:rPr>
          <w:b/>
          <w:bCs/>
        </w:rPr>
        <w:t>mix</w:t>
      </w:r>
      <w:proofErr w:type="spellEnd"/>
      <w:r w:rsidRPr="006A7437">
        <w:rPr>
          <w:b/>
          <w:bCs/>
        </w:rPr>
        <w:t xml:space="preserve"> de producto</w:t>
      </w:r>
      <w:r w:rsidRPr="006A7437">
        <w:t xml:space="preserve">, y moderadamente sensible a cambios en las </w:t>
      </w:r>
      <w:r w:rsidRPr="006A7437">
        <w:rPr>
          <w:b/>
          <w:bCs/>
        </w:rPr>
        <w:t>tasas de interés</w:t>
      </w:r>
      <w:r w:rsidRPr="006A7437">
        <w:t xml:space="preserve"> y el </w:t>
      </w:r>
      <w:r w:rsidRPr="006A7437">
        <w:rPr>
          <w:b/>
          <w:bCs/>
        </w:rPr>
        <w:t>inventario de la competencia</w:t>
      </w:r>
      <w:r w:rsidRPr="006A7437">
        <w:t>.</w:t>
      </w:r>
    </w:p>
    <w:p w14:paraId="452A8B80" w14:textId="77777777" w:rsidR="006A7437" w:rsidRPr="006A7437" w:rsidRDefault="006A7437" w:rsidP="006A7437">
      <w:pPr>
        <w:numPr>
          <w:ilvl w:val="0"/>
          <w:numId w:val="5"/>
        </w:numPr>
      </w:pPr>
      <w:r w:rsidRPr="006A7437">
        <w:rPr>
          <w:b/>
          <w:bCs/>
        </w:rPr>
        <w:t>Planes de Contingencia ante Choques:</w:t>
      </w:r>
    </w:p>
    <w:p w14:paraId="0C3695A7" w14:textId="77777777" w:rsidR="006A7437" w:rsidRPr="006A7437" w:rsidRDefault="006A7437" w:rsidP="006A7437">
      <w:pPr>
        <w:numPr>
          <w:ilvl w:val="1"/>
          <w:numId w:val="5"/>
        </w:numPr>
      </w:pPr>
      <w:r w:rsidRPr="006A7437">
        <w:rPr>
          <w:b/>
          <w:bCs/>
        </w:rPr>
        <w:t>Shock de Tasas (+200 pb):</w:t>
      </w:r>
    </w:p>
    <w:p w14:paraId="2517ED94" w14:textId="77777777" w:rsidR="006A7437" w:rsidRPr="006A7437" w:rsidRDefault="006A7437" w:rsidP="006A7437">
      <w:pPr>
        <w:numPr>
          <w:ilvl w:val="2"/>
          <w:numId w:val="5"/>
        </w:numPr>
      </w:pPr>
      <w:r w:rsidRPr="006A7437">
        <w:rPr>
          <w:i/>
          <w:iCs/>
        </w:rPr>
        <w:t>Impacto Esperado:</w:t>
      </w:r>
      <w:r w:rsidRPr="006A7437">
        <w:t xml:space="preserve"> Reducción de la absorción a 9.5-10 lotes/mes.</w:t>
      </w:r>
    </w:p>
    <w:p w14:paraId="22020C4D" w14:textId="77777777" w:rsidR="006A7437" w:rsidRPr="006A7437" w:rsidRDefault="006A7437" w:rsidP="006A7437">
      <w:pPr>
        <w:numPr>
          <w:ilvl w:val="2"/>
          <w:numId w:val="5"/>
        </w:numPr>
      </w:pPr>
      <w:r w:rsidRPr="006A7437">
        <w:rPr>
          <w:i/>
          <w:iCs/>
        </w:rPr>
        <w:t>Plan de Acción:</w:t>
      </w:r>
      <w:r w:rsidRPr="006A7437">
        <w:t xml:space="preserve"> Activar un programa de financiamiento directo a 6-12 meses sin intereses para lotes seleccionados del segmento Óptimo, mitigando el impacto del costo del crédito bancario.</w:t>
      </w:r>
    </w:p>
    <w:p w14:paraId="439EAF07" w14:textId="77777777" w:rsidR="006A7437" w:rsidRPr="006A7437" w:rsidRDefault="006A7437" w:rsidP="006A7437">
      <w:pPr>
        <w:numPr>
          <w:ilvl w:val="1"/>
          <w:numId w:val="5"/>
        </w:numPr>
      </w:pPr>
      <w:r w:rsidRPr="006A7437">
        <w:rPr>
          <w:b/>
          <w:bCs/>
        </w:rPr>
        <w:t>Shock de Competencia (+30% Inventario):</w:t>
      </w:r>
    </w:p>
    <w:p w14:paraId="39AD7D34" w14:textId="77777777" w:rsidR="006A7437" w:rsidRPr="006A7437" w:rsidRDefault="006A7437" w:rsidP="006A7437">
      <w:pPr>
        <w:numPr>
          <w:ilvl w:val="2"/>
          <w:numId w:val="5"/>
        </w:numPr>
      </w:pPr>
      <w:r w:rsidRPr="006A7437">
        <w:rPr>
          <w:i/>
          <w:iCs/>
        </w:rPr>
        <w:t>Impacto Esperado:</w:t>
      </w:r>
      <w:r w:rsidRPr="006A7437">
        <w:t xml:space="preserve"> Presión sobre los segmentos de mayor valor.</w:t>
      </w:r>
    </w:p>
    <w:p w14:paraId="4FA90FAD" w14:textId="77777777" w:rsidR="006A7437" w:rsidRPr="006A7437" w:rsidRDefault="006A7437" w:rsidP="006A7437">
      <w:pPr>
        <w:numPr>
          <w:ilvl w:val="2"/>
          <w:numId w:val="5"/>
        </w:numPr>
      </w:pPr>
      <w:r w:rsidRPr="006A7437">
        <w:rPr>
          <w:i/>
          <w:iCs/>
        </w:rPr>
        <w:t>Plan de Acción:</w:t>
      </w:r>
      <w:r w:rsidRPr="006A7437">
        <w:t xml:space="preserve"> Mantener precios en Rango Base, implementar un ajuste táctico del 2-3% en Rango Valor/Premium, y reforzar la </w:t>
      </w:r>
      <w:r w:rsidRPr="006A7437">
        <w:lastRenderedPageBreak/>
        <w:t>campaña de marketing en los diferenciadores clave de Veredas (amenidades, seguridad, plusvalía comprobada).</w:t>
      </w:r>
    </w:p>
    <w:p w14:paraId="23CB4D3F" w14:textId="77777777" w:rsidR="006A7437" w:rsidRPr="006A7437" w:rsidRDefault="006A7437" w:rsidP="006A7437">
      <w:pPr>
        <w:numPr>
          <w:ilvl w:val="1"/>
          <w:numId w:val="5"/>
        </w:numPr>
      </w:pPr>
      <w:r w:rsidRPr="006A7437">
        <w:rPr>
          <w:b/>
          <w:bCs/>
        </w:rPr>
        <w:t xml:space="preserve">Shock de Inflación (+2 </w:t>
      </w:r>
      <w:proofErr w:type="spellStart"/>
      <w:r w:rsidRPr="006A7437">
        <w:rPr>
          <w:b/>
          <w:bCs/>
        </w:rPr>
        <w:t>pp</w:t>
      </w:r>
      <w:proofErr w:type="spellEnd"/>
      <w:r w:rsidRPr="006A7437">
        <w:rPr>
          <w:b/>
          <w:bCs/>
        </w:rPr>
        <w:t xml:space="preserve"> sobre lo esperado):</w:t>
      </w:r>
    </w:p>
    <w:p w14:paraId="495F24DB" w14:textId="77777777" w:rsidR="006A7437" w:rsidRPr="006A7437" w:rsidRDefault="006A7437" w:rsidP="006A7437">
      <w:pPr>
        <w:numPr>
          <w:ilvl w:val="2"/>
          <w:numId w:val="5"/>
        </w:numPr>
      </w:pPr>
      <w:r w:rsidRPr="006A7437">
        <w:rPr>
          <w:i/>
          <w:iCs/>
        </w:rPr>
        <w:t>Impacto Esperado:</w:t>
      </w:r>
      <w:r w:rsidRPr="006A7437">
        <w:t xml:space="preserve"> Erosión del margen real si no se actúa.</w:t>
      </w:r>
    </w:p>
    <w:p w14:paraId="6215BD86" w14:textId="77777777" w:rsidR="006A7437" w:rsidRPr="006A7437" w:rsidRDefault="006A7437" w:rsidP="006A7437">
      <w:pPr>
        <w:numPr>
          <w:ilvl w:val="2"/>
          <w:numId w:val="5"/>
        </w:numPr>
      </w:pPr>
      <w:r w:rsidRPr="006A7437">
        <w:rPr>
          <w:i/>
          <w:iCs/>
        </w:rPr>
        <w:t>Plan de Acción:</w:t>
      </w:r>
      <w:r w:rsidRPr="006A7437">
        <w:t xml:space="preserve"> Cambiar el mecanismo comercial de escalonamiento de "por bloque de lotes" a una </w:t>
      </w:r>
      <w:r w:rsidRPr="006A7437">
        <w:rPr>
          <w:b/>
          <w:bCs/>
        </w:rPr>
        <w:t>indexación trimestral</w:t>
      </w:r>
      <w:r w:rsidRPr="006A7437">
        <w:t xml:space="preserve"> explícita para proteger el valor real del proyecto.</w:t>
      </w:r>
    </w:p>
    <w:p w14:paraId="7714A0F5" w14:textId="77777777" w:rsidR="006A7437" w:rsidRPr="006A7437" w:rsidRDefault="006A7437" w:rsidP="006A7437">
      <w:r w:rsidRPr="006A7437">
        <w:pict w14:anchorId="070191FC">
          <v:rect id="_x0000_i1045" style="width:0;height:1.5pt" o:hralign="center" o:hrstd="t" o:hrnoshade="t" o:hr="t" fillcolor="gray" stroked="f"/>
        </w:pict>
      </w:r>
    </w:p>
    <w:p w14:paraId="6D6FCAB1" w14:textId="77777777" w:rsidR="006A7437" w:rsidRPr="006A7437" w:rsidRDefault="006A7437" w:rsidP="006A7437">
      <w:pPr>
        <w:rPr>
          <w:b/>
          <w:bCs/>
        </w:rPr>
      </w:pPr>
      <w:r w:rsidRPr="006A7437">
        <w:rPr>
          <w:b/>
          <w:bCs/>
        </w:rPr>
        <w:t>Resumen para Comité (Pitch de 20 segundos)</w:t>
      </w:r>
    </w:p>
    <w:p w14:paraId="74BFD385" w14:textId="77777777" w:rsidR="006A7437" w:rsidRPr="006A7437" w:rsidRDefault="006A7437" w:rsidP="006A7437">
      <w:r w:rsidRPr="006A7437">
        <w:t xml:space="preserve">“Para cumplir el objetivo de 8 años, necesitamos vender </w:t>
      </w:r>
      <w:r w:rsidRPr="006A7437">
        <w:rPr>
          <w:b/>
          <w:bCs/>
        </w:rPr>
        <w:t>10.4 lotes al mes</w:t>
      </w:r>
      <w:r w:rsidRPr="006A7437">
        <w:t xml:space="preserve">. Lo lograremos concentrando el </w:t>
      </w:r>
      <w:r w:rsidRPr="006A7437">
        <w:rPr>
          <w:b/>
          <w:bCs/>
        </w:rPr>
        <w:t>90% del inventario</w:t>
      </w:r>
      <w:r w:rsidRPr="006A7437">
        <w:t xml:space="preserve"> en los segmentos de alta demanda (115–140 m²) y arrancando con precios competitivos de </w:t>
      </w:r>
      <w:r w:rsidRPr="006A7437">
        <w:rPr>
          <w:b/>
          <w:bCs/>
        </w:rPr>
        <w:t>$6,950 a $7,300 por metro cuadrado</w:t>
      </w:r>
      <w:r w:rsidRPr="006A7437">
        <w:t xml:space="preserve"> en esas bandas. El precio se indexará por inflación y plusvalía real, comunicándolo al mercado como un escalonamiento del </w:t>
      </w:r>
      <w:r w:rsidRPr="006A7437">
        <w:rPr>
          <w:b/>
          <w:bCs/>
        </w:rPr>
        <w:t>+2.5% por cada 125 lotes</w:t>
      </w:r>
      <w:r w:rsidRPr="006A7437">
        <w:t>. Con esto, la absorción sube a 10–11 lotes al mes, mantenemos el posicionamiento premium y maximizamos el ingreso total del proyecto.”</w:t>
      </w:r>
    </w:p>
    <w:p w14:paraId="35F64135" w14:textId="77777777" w:rsidR="000434A7" w:rsidRDefault="000434A7"/>
    <w:sectPr w:rsidR="000434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80B"/>
    <w:multiLevelType w:val="multilevel"/>
    <w:tmpl w:val="37A2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23A44"/>
    <w:multiLevelType w:val="multilevel"/>
    <w:tmpl w:val="FF02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6303B"/>
    <w:multiLevelType w:val="multilevel"/>
    <w:tmpl w:val="11C6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41BB8"/>
    <w:multiLevelType w:val="multilevel"/>
    <w:tmpl w:val="5674FF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20BF6"/>
    <w:multiLevelType w:val="multilevel"/>
    <w:tmpl w:val="352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539076">
    <w:abstractNumId w:val="0"/>
  </w:num>
  <w:num w:numId="2" w16cid:durableId="1203328701">
    <w:abstractNumId w:val="1"/>
  </w:num>
  <w:num w:numId="3" w16cid:durableId="1404252220">
    <w:abstractNumId w:val="4"/>
  </w:num>
  <w:num w:numId="4" w16cid:durableId="1651406013">
    <w:abstractNumId w:val="2"/>
  </w:num>
  <w:num w:numId="5" w16cid:durableId="115264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37"/>
    <w:rsid w:val="000434A7"/>
    <w:rsid w:val="001D51FF"/>
    <w:rsid w:val="001E3DEF"/>
    <w:rsid w:val="0045301D"/>
    <w:rsid w:val="006A7437"/>
    <w:rsid w:val="0079362D"/>
    <w:rsid w:val="00A3293D"/>
    <w:rsid w:val="00E726A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FA56"/>
  <w15:chartTrackingRefBased/>
  <w15:docId w15:val="{A50B3B4E-A629-470F-8EE8-70BFA327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93D"/>
  </w:style>
  <w:style w:type="paragraph" w:styleId="Ttulo1">
    <w:name w:val="heading 1"/>
    <w:basedOn w:val="Normal"/>
    <w:next w:val="Normal"/>
    <w:link w:val="Ttulo1Car"/>
    <w:uiPriority w:val="9"/>
    <w:qFormat/>
    <w:rsid w:val="006A7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7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74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74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A743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A74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A743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A743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A743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74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74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743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743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A743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A743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A743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A743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A743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A7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74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74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743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A7437"/>
    <w:pPr>
      <w:spacing w:before="160"/>
      <w:jc w:val="center"/>
    </w:pPr>
    <w:rPr>
      <w:i/>
      <w:iCs/>
      <w:color w:val="404040" w:themeColor="text1" w:themeTint="BF"/>
    </w:rPr>
  </w:style>
  <w:style w:type="character" w:customStyle="1" w:styleId="CitaCar">
    <w:name w:val="Cita Car"/>
    <w:basedOn w:val="Fuentedeprrafopredeter"/>
    <w:link w:val="Cita"/>
    <w:uiPriority w:val="29"/>
    <w:rsid w:val="006A7437"/>
    <w:rPr>
      <w:i/>
      <w:iCs/>
      <w:color w:val="404040" w:themeColor="text1" w:themeTint="BF"/>
    </w:rPr>
  </w:style>
  <w:style w:type="paragraph" w:styleId="Prrafodelista">
    <w:name w:val="List Paragraph"/>
    <w:basedOn w:val="Normal"/>
    <w:uiPriority w:val="34"/>
    <w:qFormat/>
    <w:rsid w:val="006A7437"/>
    <w:pPr>
      <w:ind w:left="720"/>
      <w:contextualSpacing/>
    </w:pPr>
  </w:style>
  <w:style w:type="character" w:styleId="nfasisintenso">
    <w:name w:val="Intense Emphasis"/>
    <w:basedOn w:val="Fuentedeprrafopredeter"/>
    <w:uiPriority w:val="21"/>
    <w:qFormat/>
    <w:rsid w:val="006A7437"/>
    <w:rPr>
      <w:i/>
      <w:iCs/>
      <w:color w:val="0F4761" w:themeColor="accent1" w:themeShade="BF"/>
    </w:rPr>
  </w:style>
  <w:style w:type="paragraph" w:styleId="Citadestacada">
    <w:name w:val="Intense Quote"/>
    <w:basedOn w:val="Normal"/>
    <w:next w:val="Normal"/>
    <w:link w:val="CitadestacadaCar"/>
    <w:uiPriority w:val="30"/>
    <w:qFormat/>
    <w:rsid w:val="006A7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7437"/>
    <w:rPr>
      <w:i/>
      <w:iCs/>
      <w:color w:val="0F4761" w:themeColor="accent1" w:themeShade="BF"/>
    </w:rPr>
  </w:style>
  <w:style w:type="character" w:styleId="Referenciaintensa">
    <w:name w:val="Intense Reference"/>
    <w:basedOn w:val="Fuentedeprrafopredeter"/>
    <w:uiPriority w:val="32"/>
    <w:qFormat/>
    <w:rsid w:val="006A7437"/>
    <w:rPr>
      <w:b/>
      <w:bCs/>
      <w:smallCaps/>
      <w:color w:val="0F4761" w:themeColor="accent1" w:themeShade="BF"/>
      <w:spacing w:val="5"/>
    </w:rPr>
  </w:style>
  <w:style w:type="character" w:styleId="Textodelmarcadordeposicin">
    <w:name w:val="Placeholder Text"/>
    <w:basedOn w:val="Fuentedeprrafopredeter"/>
    <w:uiPriority w:val="99"/>
    <w:semiHidden/>
    <w:rsid w:val="006A74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1126</TotalTime>
  <Pages>4</Pages>
  <Words>878</Words>
  <Characters>4834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Gonzalez</dc:creator>
  <cp:keywords/>
  <dc:description/>
  <cp:lastModifiedBy>Julio Gonzalez</cp:lastModifiedBy>
  <cp:revision>1</cp:revision>
  <dcterms:created xsi:type="dcterms:W3CDTF">2025-10-16T17:32:00Z</dcterms:created>
  <dcterms:modified xsi:type="dcterms:W3CDTF">2025-10-17T12:18:00Z</dcterms:modified>
</cp:coreProperties>
</file>