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7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1919"/>
        <w:gridCol w:w="753"/>
        <w:gridCol w:w="875"/>
        <w:gridCol w:w="1462"/>
        <w:gridCol w:w="786"/>
        <w:gridCol w:w="729"/>
        <w:gridCol w:w="740"/>
        <w:gridCol w:w="933"/>
        <w:gridCol w:w="1042"/>
        <w:gridCol w:w="1138"/>
      </w:tblGrid>
      <w:tr w:rsidR="00B67C50" w:rsidRPr="00B67C50" w14:paraId="702D90F1" w14:textId="77777777" w:rsidTr="00192CE2">
        <w:trPr>
          <w:trHeight w:val="456"/>
          <w:jc w:val="center"/>
        </w:trPr>
        <w:tc>
          <w:tcPr>
            <w:tcW w:w="10627" w:type="dxa"/>
            <w:gridSpan w:val="11"/>
            <w:shd w:val="clear" w:color="auto" w:fill="auto"/>
            <w:vAlign w:val="center"/>
            <w:hideMark/>
          </w:tcPr>
          <w:p w14:paraId="7E1113B2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Calibri"/>
                <w:b/>
                <w:bCs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67C50">
              <w:rPr>
                <w:rFonts w:ascii="Roboto Thin" w:eastAsia="Times New Roman" w:hAnsi="Roboto Thin" w:cs="Calibri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Coeficientes</w:t>
            </w:r>
            <w:r w:rsidRPr="00B67C50">
              <w:rPr>
                <w:rFonts w:ascii="Roboto Thin" w:eastAsia="Times New Roman" w:hAnsi="Roboto Thin" w:cs="Calibri"/>
                <w:color w:val="000000" w:themeColor="text1"/>
                <w:kern w:val="0"/>
                <w:sz w:val="20"/>
                <w:szCs w:val="20"/>
                <w:vertAlign w:val="superscript"/>
                <w:lang w:eastAsia="es-MX"/>
                <w14:ligatures w14:val="none"/>
              </w:rPr>
              <w:t>a</w:t>
            </w:r>
            <w:proofErr w:type="spellEnd"/>
          </w:p>
        </w:tc>
      </w:tr>
      <w:tr w:rsidR="00B67C50" w:rsidRPr="00B67C50" w14:paraId="0BD57FD2" w14:textId="77777777" w:rsidTr="00192CE2">
        <w:trPr>
          <w:trHeight w:val="930"/>
          <w:jc w:val="center"/>
        </w:trPr>
        <w:tc>
          <w:tcPr>
            <w:tcW w:w="2169" w:type="dxa"/>
            <w:gridSpan w:val="2"/>
            <w:vMerge w:val="restart"/>
            <w:shd w:val="clear" w:color="auto" w:fill="auto"/>
            <w:vAlign w:val="center"/>
            <w:hideMark/>
          </w:tcPr>
          <w:p w14:paraId="1F1E625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Modelo</w:t>
            </w:r>
          </w:p>
        </w:tc>
        <w:tc>
          <w:tcPr>
            <w:tcW w:w="1628" w:type="dxa"/>
            <w:gridSpan w:val="2"/>
            <w:shd w:val="clear" w:color="auto" w:fill="auto"/>
            <w:vAlign w:val="center"/>
            <w:hideMark/>
          </w:tcPr>
          <w:p w14:paraId="6BB06A84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Coeficientes no estandarizados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69F336E6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Coeficientes estandarizados</w:t>
            </w:r>
          </w:p>
        </w:tc>
        <w:tc>
          <w:tcPr>
            <w:tcW w:w="786" w:type="dxa"/>
            <w:vMerge w:val="restart"/>
            <w:shd w:val="clear" w:color="auto" w:fill="auto"/>
            <w:vAlign w:val="center"/>
            <w:hideMark/>
          </w:tcPr>
          <w:p w14:paraId="328DF397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t</w:t>
            </w:r>
          </w:p>
        </w:tc>
        <w:tc>
          <w:tcPr>
            <w:tcW w:w="729" w:type="dxa"/>
            <w:vMerge w:val="restart"/>
            <w:shd w:val="clear" w:color="auto" w:fill="auto"/>
            <w:vAlign w:val="center"/>
            <w:hideMark/>
          </w:tcPr>
          <w:p w14:paraId="0AC6C020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Sig.</w:t>
            </w:r>
          </w:p>
        </w:tc>
        <w:tc>
          <w:tcPr>
            <w:tcW w:w="1673" w:type="dxa"/>
            <w:gridSpan w:val="2"/>
            <w:shd w:val="clear" w:color="auto" w:fill="auto"/>
            <w:vAlign w:val="center"/>
            <w:hideMark/>
          </w:tcPr>
          <w:p w14:paraId="05C53E0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95.0% intervalo de confianza para B</w:t>
            </w:r>
          </w:p>
        </w:tc>
        <w:tc>
          <w:tcPr>
            <w:tcW w:w="2180" w:type="dxa"/>
            <w:gridSpan w:val="2"/>
            <w:shd w:val="clear" w:color="auto" w:fill="auto"/>
            <w:vAlign w:val="center"/>
            <w:hideMark/>
          </w:tcPr>
          <w:p w14:paraId="7AEA5BED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Estadísticas de colinealidad</w:t>
            </w:r>
          </w:p>
        </w:tc>
      </w:tr>
      <w:tr w:rsidR="00B67C50" w:rsidRPr="00B67C50" w14:paraId="25C8C6FF" w14:textId="77777777" w:rsidTr="00192CE2">
        <w:trPr>
          <w:trHeight w:val="310"/>
          <w:jc w:val="center"/>
        </w:trPr>
        <w:tc>
          <w:tcPr>
            <w:tcW w:w="2169" w:type="dxa"/>
            <w:gridSpan w:val="2"/>
            <w:vMerge/>
            <w:shd w:val="clear" w:color="auto" w:fill="auto"/>
            <w:vAlign w:val="center"/>
            <w:hideMark/>
          </w:tcPr>
          <w:p w14:paraId="18956459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53" w:type="dxa"/>
            <w:shd w:val="clear" w:color="auto" w:fill="auto"/>
            <w:vAlign w:val="center"/>
            <w:hideMark/>
          </w:tcPr>
          <w:p w14:paraId="363761A1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B</w:t>
            </w:r>
          </w:p>
        </w:tc>
        <w:tc>
          <w:tcPr>
            <w:tcW w:w="875" w:type="dxa"/>
            <w:shd w:val="clear" w:color="auto" w:fill="auto"/>
            <w:vAlign w:val="center"/>
            <w:hideMark/>
          </w:tcPr>
          <w:p w14:paraId="05A93948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Desv</w:t>
            </w:r>
            <w:proofErr w:type="spellEnd"/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. Error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48071FD3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Beta</w:t>
            </w:r>
          </w:p>
        </w:tc>
        <w:tc>
          <w:tcPr>
            <w:tcW w:w="786" w:type="dxa"/>
            <w:vMerge/>
            <w:shd w:val="clear" w:color="auto" w:fill="auto"/>
            <w:vAlign w:val="center"/>
            <w:hideMark/>
          </w:tcPr>
          <w:p w14:paraId="545CC2FC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29" w:type="dxa"/>
            <w:vMerge/>
            <w:shd w:val="clear" w:color="auto" w:fill="auto"/>
            <w:vAlign w:val="center"/>
            <w:hideMark/>
          </w:tcPr>
          <w:p w14:paraId="05B11584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59325D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Límite inferior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14:paraId="2920A957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Límite superior</w:t>
            </w:r>
          </w:p>
        </w:tc>
        <w:tc>
          <w:tcPr>
            <w:tcW w:w="1042" w:type="dxa"/>
            <w:shd w:val="clear" w:color="auto" w:fill="auto"/>
            <w:vAlign w:val="center"/>
            <w:hideMark/>
          </w:tcPr>
          <w:p w14:paraId="650D3376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Tolerancia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467C334C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VIF</w:t>
            </w:r>
          </w:p>
        </w:tc>
      </w:tr>
      <w:tr w:rsidR="00B67C50" w:rsidRPr="00B67C50" w14:paraId="3A5E1FE7" w14:textId="77777777" w:rsidTr="00192CE2">
        <w:trPr>
          <w:trHeight w:val="326"/>
          <w:jc w:val="center"/>
        </w:trPr>
        <w:tc>
          <w:tcPr>
            <w:tcW w:w="250" w:type="dxa"/>
            <w:vMerge w:val="restart"/>
            <w:shd w:val="clear" w:color="auto" w:fill="auto"/>
            <w:noWrap/>
            <w:vAlign w:val="center"/>
            <w:hideMark/>
          </w:tcPr>
          <w:p w14:paraId="2286FD0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1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14:paraId="2FA6C273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(Constante)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2B7E90B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0.463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1839022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0.205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1F3D2A4A" w14:textId="220E9948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88C2CBB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2.256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49CBF3B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0.025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14:paraId="0C60DDE1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0.059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7B2CB0FD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0.867</w:t>
            </w:r>
          </w:p>
        </w:tc>
        <w:tc>
          <w:tcPr>
            <w:tcW w:w="1042" w:type="dxa"/>
            <w:shd w:val="clear" w:color="auto" w:fill="auto"/>
            <w:vAlign w:val="center"/>
            <w:hideMark/>
          </w:tcPr>
          <w:p w14:paraId="7C8ED936" w14:textId="251B1EEC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0F2FDDD6" w14:textId="1C7E0D51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B67C50" w:rsidRPr="00B67C50" w14:paraId="4BE6EE70" w14:textId="77777777" w:rsidTr="00192CE2">
        <w:trPr>
          <w:trHeight w:val="1256"/>
          <w:jc w:val="center"/>
        </w:trPr>
        <w:tc>
          <w:tcPr>
            <w:tcW w:w="250" w:type="dxa"/>
            <w:vMerge/>
            <w:shd w:val="clear" w:color="auto" w:fill="auto"/>
            <w:vAlign w:val="center"/>
            <w:hideMark/>
          </w:tcPr>
          <w:p w14:paraId="47FAAD7F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14:paraId="76DEAD09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Evalúe los siguientes aspectos de su experiencia en el ACUARIO: LIMPIEZA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7A1328C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0.189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E1CFD7F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0.048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1935ECC5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0.177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4C9102B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3.953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707E09D9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0.000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14:paraId="2E4CCDEF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0.095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5385064A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0.282</w:t>
            </w:r>
          </w:p>
        </w:tc>
        <w:tc>
          <w:tcPr>
            <w:tcW w:w="1042" w:type="dxa"/>
            <w:shd w:val="clear" w:color="auto" w:fill="auto"/>
            <w:noWrap/>
            <w:vAlign w:val="center"/>
            <w:hideMark/>
          </w:tcPr>
          <w:p w14:paraId="314F3520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0.682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46B5EA36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1.466</w:t>
            </w:r>
          </w:p>
        </w:tc>
      </w:tr>
      <w:tr w:rsidR="00B67C50" w:rsidRPr="00B67C50" w14:paraId="6ADF444A" w14:textId="77777777" w:rsidTr="00192CE2">
        <w:trPr>
          <w:trHeight w:val="1533"/>
          <w:jc w:val="center"/>
        </w:trPr>
        <w:tc>
          <w:tcPr>
            <w:tcW w:w="250" w:type="dxa"/>
            <w:vMerge/>
            <w:shd w:val="clear" w:color="auto" w:fill="auto"/>
            <w:vAlign w:val="center"/>
            <w:hideMark/>
          </w:tcPr>
          <w:p w14:paraId="755609D6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14:paraId="00C45E11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Evalúe los siguientes aspectos de su experiencia en el ACUARIO: SERVICIO DEL EQUIPO ANFITRIÓN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08596774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-0.064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E2863C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0.043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5544A0DF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-0.071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44DC70EA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-1.490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57E49C0B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0.137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14:paraId="7843466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-0.148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47F1F481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0.020</w:t>
            </w:r>
          </w:p>
        </w:tc>
        <w:tc>
          <w:tcPr>
            <w:tcW w:w="1042" w:type="dxa"/>
            <w:shd w:val="clear" w:color="auto" w:fill="auto"/>
            <w:noWrap/>
            <w:vAlign w:val="center"/>
            <w:hideMark/>
          </w:tcPr>
          <w:p w14:paraId="283DCD29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0.606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65F45EA1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1.649</w:t>
            </w:r>
          </w:p>
        </w:tc>
      </w:tr>
      <w:tr w:rsidR="00B67C50" w:rsidRPr="00B67C50" w14:paraId="3CF803AA" w14:textId="77777777" w:rsidTr="00192CE2">
        <w:trPr>
          <w:trHeight w:val="1256"/>
          <w:jc w:val="center"/>
        </w:trPr>
        <w:tc>
          <w:tcPr>
            <w:tcW w:w="250" w:type="dxa"/>
            <w:vMerge/>
            <w:shd w:val="clear" w:color="auto" w:fill="auto"/>
            <w:vAlign w:val="center"/>
            <w:hideMark/>
          </w:tcPr>
          <w:p w14:paraId="124BCA1D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14:paraId="00957E80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Evalúe los siguientes aspectos de su experiencia en el ACUARIO: EXPERIENCIA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02229E50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0.168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520242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0.055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3D18B1C4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0.171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77688E7A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3.068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12EE319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0.002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14:paraId="7ECAE476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0.060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48AB6D6B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0.275</w:t>
            </w:r>
          </w:p>
        </w:tc>
        <w:tc>
          <w:tcPr>
            <w:tcW w:w="1042" w:type="dxa"/>
            <w:shd w:val="clear" w:color="auto" w:fill="auto"/>
            <w:noWrap/>
            <w:vAlign w:val="center"/>
            <w:hideMark/>
          </w:tcPr>
          <w:p w14:paraId="73916C1F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0.440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2CEDE1B1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2.273</w:t>
            </w:r>
          </w:p>
        </w:tc>
      </w:tr>
      <w:tr w:rsidR="00B67C50" w:rsidRPr="00B67C50" w14:paraId="27BC8A3A" w14:textId="77777777" w:rsidTr="00192CE2">
        <w:trPr>
          <w:trHeight w:val="1533"/>
          <w:jc w:val="center"/>
        </w:trPr>
        <w:tc>
          <w:tcPr>
            <w:tcW w:w="250" w:type="dxa"/>
            <w:vMerge/>
            <w:shd w:val="clear" w:color="auto" w:fill="auto"/>
            <w:vAlign w:val="center"/>
            <w:hideMark/>
          </w:tcPr>
          <w:p w14:paraId="11B16BB9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14:paraId="5E7E5F50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Evalúe los siguientes aspectos de su experiencia en el ACUARIO: ENTRETENIMIENTO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311B685D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0.155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7F8BA2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0.051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4F1C8324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0.171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13DFEC40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3.014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10770382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0.003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14:paraId="40CE44C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0.054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44325D9D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0.256</w:t>
            </w:r>
          </w:p>
        </w:tc>
        <w:tc>
          <w:tcPr>
            <w:tcW w:w="1042" w:type="dxa"/>
            <w:shd w:val="clear" w:color="auto" w:fill="auto"/>
            <w:noWrap/>
            <w:vAlign w:val="center"/>
            <w:hideMark/>
          </w:tcPr>
          <w:p w14:paraId="5B3E3483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0.422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7C7175A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2.368</w:t>
            </w:r>
          </w:p>
        </w:tc>
      </w:tr>
      <w:tr w:rsidR="00B67C50" w:rsidRPr="00B67C50" w14:paraId="5F7D0C3F" w14:textId="77777777" w:rsidTr="00192CE2">
        <w:trPr>
          <w:trHeight w:val="1533"/>
          <w:jc w:val="center"/>
        </w:trPr>
        <w:tc>
          <w:tcPr>
            <w:tcW w:w="250" w:type="dxa"/>
            <w:vMerge/>
            <w:shd w:val="clear" w:color="auto" w:fill="auto"/>
            <w:vAlign w:val="center"/>
            <w:hideMark/>
          </w:tcPr>
          <w:p w14:paraId="070F89D9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14:paraId="7A27F4D6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Evalúe los siguientes aspectos de su experiencia en el ACUARIO: DIVERSIDAD DE ESPECIES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69E8BFFC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0.359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11A0555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0.047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7E4B5F19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0.374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2C8C3E64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7.694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1B4242F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0.000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14:paraId="5810DABF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0.267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19A4AE60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0.451</w:t>
            </w:r>
          </w:p>
        </w:tc>
        <w:tc>
          <w:tcPr>
            <w:tcW w:w="1042" w:type="dxa"/>
            <w:shd w:val="clear" w:color="auto" w:fill="auto"/>
            <w:noWrap/>
            <w:vAlign w:val="center"/>
            <w:hideMark/>
          </w:tcPr>
          <w:p w14:paraId="5DC25C4F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0.576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045C2ED3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1.736</w:t>
            </w:r>
          </w:p>
        </w:tc>
      </w:tr>
      <w:tr w:rsidR="00B67C50" w:rsidRPr="00B67C50" w14:paraId="55CB9A71" w14:textId="77777777" w:rsidTr="00192CE2">
        <w:trPr>
          <w:trHeight w:val="1533"/>
          <w:jc w:val="center"/>
        </w:trPr>
        <w:tc>
          <w:tcPr>
            <w:tcW w:w="250" w:type="dxa"/>
            <w:vMerge/>
            <w:shd w:val="clear" w:color="auto" w:fill="auto"/>
            <w:vAlign w:val="center"/>
            <w:hideMark/>
          </w:tcPr>
          <w:p w14:paraId="5B4BC48C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14:paraId="04C00BC6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Evalúe los siguientes aspectos de su experiencia en el ACUARIO: RELACIÓN PRECIO-SERVICIO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6906765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0.098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CDB7DEE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0.032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0B7B176A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0.144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14:paraId="0C3DEC0B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3.075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3E950DC1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0.002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14:paraId="773D81F2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0.035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14:paraId="0DAF2325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0.161</w:t>
            </w:r>
          </w:p>
        </w:tc>
        <w:tc>
          <w:tcPr>
            <w:tcW w:w="1042" w:type="dxa"/>
            <w:shd w:val="clear" w:color="auto" w:fill="auto"/>
            <w:noWrap/>
            <w:vAlign w:val="center"/>
            <w:hideMark/>
          </w:tcPr>
          <w:p w14:paraId="12E3EA3B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0.622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14:paraId="4C9D9E38" w14:textId="77777777" w:rsidR="00B67C50" w:rsidRPr="00B67C50" w:rsidRDefault="00B67C50" w:rsidP="00B67C50">
            <w:pPr>
              <w:spacing w:after="0" w:line="240" w:lineRule="auto"/>
              <w:jc w:val="center"/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7C50">
              <w:rPr>
                <w:rFonts w:ascii="Roboto Thin" w:eastAsia="Times New Roman" w:hAnsi="Roboto Thin" w:cs="Arial"/>
                <w:color w:val="000000" w:themeColor="text1"/>
                <w:kern w:val="0"/>
                <w:sz w:val="20"/>
                <w:szCs w:val="20"/>
                <w:lang w:eastAsia="es-MX"/>
                <w14:ligatures w14:val="none"/>
              </w:rPr>
              <w:t>1.607</w:t>
            </w:r>
          </w:p>
        </w:tc>
      </w:tr>
    </w:tbl>
    <w:p w14:paraId="0719C4E0" w14:textId="77777777" w:rsidR="000434A7" w:rsidRDefault="000434A7"/>
    <w:p w14:paraId="6FE2FA5F" w14:textId="77777777" w:rsidR="00B67C50" w:rsidRDefault="00B67C50"/>
    <w:p w14:paraId="077FF675" w14:textId="77777777" w:rsidR="00B67C50" w:rsidRDefault="00B67C50" w:rsidP="00B67C50">
      <w:pPr>
        <w:rPr>
          <w:rFonts w:ascii="Segoe UI Emoji" w:hAnsi="Segoe UI Emoji" w:cs="Segoe UI Emoji"/>
          <w:b/>
          <w:bCs/>
        </w:rPr>
      </w:pPr>
    </w:p>
    <w:p w14:paraId="55B01EC1" w14:textId="77777777" w:rsidR="00B67C50" w:rsidRDefault="00B67C50" w:rsidP="00B67C50">
      <w:pPr>
        <w:rPr>
          <w:rFonts w:ascii="Segoe UI Emoji" w:hAnsi="Segoe UI Emoji" w:cs="Segoe UI Emoji"/>
          <w:b/>
          <w:bCs/>
        </w:rPr>
      </w:pPr>
    </w:p>
    <w:tbl>
      <w:tblPr>
        <w:tblW w:w="10882" w:type="dxa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268"/>
        <w:gridCol w:w="1709"/>
        <w:gridCol w:w="2176"/>
        <w:gridCol w:w="2177"/>
      </w:tblGrid>
      <w:tr w:rsidR="00C42B1B" w:rsidRPr="00C42B1B" w14:paraId="56C55F1E" w14:textId="77777777" w:rsidTr="00C42B1B">
        <w:trPr>
          <w:trHeight w:val="622"/>
        </w:trPr>
        <w:tc>
          <w:tcPr>
            <w:tcW w:w="2552" w:type="dxa"/>
            <w:shd w:val="clear" w:color="auto" w:fill="auto"/>
            <w:vAlign w:val="center"/>
            <w:hideMark/>
          </w:tcPr>
          <w:p w14:paraId="3CDDAAAE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>Variable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EE9B173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gramStart"/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Beta estandarizado</w:t>
            </w:r>
            <w:proofErr w:type="gramEnd"/>
          </w:p>
        </w:tc>
        <w:tc>
          <w:tcPr>
            <w:tcW w:w="1709" w:type="dxa"/>
            <w:shd w:val="clear" w:color="auto" w:fill="auto"/>
            <w:vAlign w:val="center"/>
            <w:hideMark/>
          </w:tcPr>
          <w:p w14:paraId="06495343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Significancia (p)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14:paraId="460BD395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¿Influye significativamente?</w:t>
            </w:r>
          </w:p>
        </w:tc>
        <w:tc>
          <w:tcPr>
            <w:tcW w:w="2177" w:type="dxa"/>
            <w:shd w:val="clear" w:color="auto" w:fill="auto"/>
            <w:vAlign w:val="center"/>
            <w:hideMark/>
          </w:tcPr>
          <w:p w14:paraId="4EC0D558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Interpretación clave</w:t>
            </w:r>
          </w:p>
        </w:tc>
      </w:tr>
      <w:tr w:rsidR="00C42B1B" w:rsidRPr="00C42B1B" w14:paraId="0014DE92" w14:textId="77777777" w:rsidTr="00C42B1B">
        <w:trPr>
          <w:trHeight w:val="622"/>
        </w:trPr>
        <w:tc>
          <w:tcPr>
            <w:tcW w:w="2552" w:type="dxa"/>
            <w:shd w:val="clear" w:color="auto" w:fill="auto"/>
            <w:vAlign w:val="center"/>
            <w:hideMark/>
          </w:tcPr>
          <w:p w14:paraId="6CDEED0B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Limpieza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F38B575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0.177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14:paraId="7D962A15" w14:textId="3A240AD0" w:rsidR="00C42B1B" w:rsidRPr="00C42B1B" w:rsidRDefault="00192CE2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&lt;0.001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14:paraId="04D96D01" w14:textId="5CDA9E78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Sí</w:t>
            </w:r>
          </w:p>
        </w:tc>
        <w:tc>
          <w:tcPr>
            <w:tcW w:w="2177" w:type="dxa"/>
            <w:shd w:val="clear" w:color="auto" w:fill="auto"/>
            <w:vAlign w:val="center"/>
            <w:hideMark/>
          </w:tcPr>
          <w:p w14:paraId="24377F21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 mayor limpieza percibida, mayor experiencia general.</w:t>
            </w:r>
          </w:p>
        </w:tc>
      </w:tr>
      <w:tr w:rsidR="00C42B1B" w:rsidRPr="00C42B1B" w14:paraId="37B8BE56" w14:textId="77777777" w:rsidTr="00C42B1B">
        <w:trPr>
          <w:trHeight w:val="622"/>
        </w:trPr>
        <w:tc>
          <w:tcPr>
            <w:tcW w:w="2552" w:type="dxa"/>
            <w:shd w:val="clear" w:color="auto" w:fill="auto"/>
            <w:vAlign w:val="center"/>
            <w:hideMark/>
          </w:tcPr>
          <w:p w14:paraId="3BAB48C0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Servicio del equipo anfitrión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512D30E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-0.071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14:paraId="2E379761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0.137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14:paraId="25B72F2B" w14:textId="76BFEA4C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</w:t>
            </w:r>
          </w:p>
        </w:tc>
        <w:tc>
          <w:tcPr>
            <w:tcW w:w="2177" w:type="dxa"/>
            <w:shd w:val="clear" w:color="auto" w:fill="auto"/>
            <w:vAlign w:val="center"/>
            <w:hideMark/>
          </w:tcPr>
          <w:p w14:paraId="7F9950AB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 influye de manera confiable, posible ruido o percepción neutra.</w:t>
            </w:r>
          </w:p>
        </w:tc>
      </w:tr>
      <w:tr w:rsidR="00C42B1B" w:rsidRPr="00C42B1B" w14:paraId="6433930C" w14:textId="77777777" w:rsidTr="00C42B1B">
        <w:trPr>
          <w:trHeight w:val="622"/>
        </w:trPr>
        <w:tc>
          <w:tcPr>
            <w:tcW w:w="2552" w:type="dxa"/>
            <w:shd w:val="clear" w:color="auto" w:fill="auto"/>
            <w:vAlign w:val="center"/>
            <w:hideMark/>
          </w:tcPr>
          <w:p w14:paraId="456AB9CA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Experiencia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A665E57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0.171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14:paraId="343DEEEC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0.002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14:paraId="470399DE" w14:textId="11C669EF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Sí</w:t>
            </w:r>
          </w:p>
        </w:tc>
        <w:tc>
          <w:tcPr>
            <w:tcW w:w="2177" w:type="dxa"/>
            <w:shd w:val="clear" w:color="auto" w:fill="auto"/>
            <w:vAlign w:val="center"/>
            <w:hideMark/>
          </w:tcPr>
          <w:p w14:paraId="7032B416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Evalúa la percepción directa de la experiencia. Alta correlación con satisfacción.</w:t>
            </w:r>
          </w:p>
        </w:tc>
      </w:tr>
      <w:tr w:rsidR="00C42B1B" w:rsidRPr="00C42B1B" w14:paraId="604666EE" w14:textId="77777777" w:rsidTr="00C42B1B">
        <w:trPr>
          <w:trHeight w:val="622"/>
        </w:trPr>
        <w:tc>
          <w:tcPr>
            <w:tcW w:w="2552" w:type="dxa"/>
            <w:shd w:val="clear" w:color="auto" w:fill="auto"/>
            <w:vAlign w:val="center"/>
            <w:hideMark/>
          </w:tcPr>
          <w:p w14:paraId="299D124C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Entretenimiento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9D3A669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0.171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14:paraId="17A3B17C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0.003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14:paraId="7DDCA362" w14:textId="77F3D140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Sí</w:t>
            </w:r>
          </w:p>
        </w:tc>
        <w:tc>
          <w:tcPr>
            <w:tcW w:w="2177" w:type="dxa"/>
            <w:shd w:val="clear" w:color="auto" w:fill="auto"/>
            <w:vAlign w:val="center"/>
            <w:hideMark/>
          </w:tcPr>
          <w:p w14:paraId="1474CF6E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Elementos de diversión o entretenimiento sí afectan la calificación general.</w:t>
            </w:r>
          </w:p>
        </w:tc>
      </w:tr>
      <w:tr w:rsidR="00C42B1B" w:rsidRPr="00C42B1B" w14:paraId="157136B7" w14:textId="77777777" w:rsidTr="00C42B1B">
        <w:trPr>
          <w:trHeight w:val="622"/>
        </w:trPr>
        <w:tc>
          <w:tcPr>
            <w:tcW w:w="2552" w:type="dxa"/>
            <w:shd w:val="clear" w:color="auto" w:fill="auto"/>
            <w:vAlign w:val="center"/>
          </w:tcPr>
          <w:p w14:paraId="0928C15D" w14:textId="416B8F45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Diversidad de especies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8EBB76" w14:textId="50898667" w:rsidR="00C42B1B" w:rsidRPr="00C42B1B" w:rsidRDefault="00192CE2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0.374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2DBAA44A" w14:textId="3BE91839" w:rsidR="00C42B1B" w:rsidRPr="00C42B1B" w:rsidRDefault="00192CE2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&lt;0.001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6C3D7FA0" w14:textId="23B2F801" w:rsidR="00C42B1B" w:rsidRPr="00C42B1B" w:rsidRDefault="00192CE2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Sí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0E5607AD" w14:textId="2D31D0D6" w:rsidR="00C42B1B" w:rsidRPr="00C42B1B" w:rsidRDefault="00192CE2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92CE2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Es el factor más influyente en la experiencia general. Cuanto mayor es la percepción de diversidad, mejor es la evaluación global.</w:t>
            </w:r>
          </w:p>
        </w:tc>
      </w:tr>
      <w:tr w:rsidR="00C42B1B" w:rsidRPr="00C42B1B" w14:paraId="7FBAAE72" w14:textId="77777777" w:rsidTr="00C42B1B">
        <w:trPr>
          <w:trHeight w:val="622"/>
        </w:trPr>
        <w:tc>
          <w:tcPr>
            <w:tcW w:w="2552" w:type="dxa"/>
            <w:shd w:val="clear" w:color="auto" w:fill="auto"/>
            <w:vAlign w:val="center"/>
            <w:hideMark/>
          </w:tcPr>
          <w:p w14:paraId="07E7AC9B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Relación precio-servicio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DD55840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0.144</w:t>
            </w:r>
          </w:p>
        </w:tc>
        <w:tc>
          <w:tcPr>
            <w:tcW w:w="1709" w:type="dxa"/>
            <w:shd w:val="clear" w:color="auto" w:fill="auto"/>
            <w:vAlign w:val="center"/>
            <w:hideMark/>
          </w:tcPr>
          <w:p w14:paraId="5CA773F4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0.002</w:t>
            </w:r>
          </w:p>
        </w:tc>
        <w:tc>
          <w:tcPr>
            <w:tcW w:w="2176" w:type="dxa"/>
            <w:shd w:val="clear" w:color="auto" w:fill="auto"/>
            <w:vAlign w:val="center"/>
            <w:hideMark/>
          </w:tcPr>
          <w:p w14:paraId="1F183647" w14:textId="6CA6FA3B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Sí</w:t>
            </w:r>
          </w:p>
        </w:tc>
        <w:tc>
          <w:tcPr>
            <w:tcW w:w="2177" w:type="dxa"/>
            <w:shd w:val="clear" w:color="auto" w:fill="auto"/>
            <w:vAlign w:val="center"/>
            <w:hideMark/>
          </w:tcPr>
          <w:p w14:paraId="7EE70513" w14:textId="77777777" w:rsidR="00C42B1B" w:rsidRPr="00C42B1B" w:rsidRDefault="00C42B1B" w:rsidP="00C42B1B">
            <w:pPr>
              <w:spacing w:after="0" w:line="240" w:lineRule="auto"/>
              <w:jc w:val="center"/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42B1B">
              <w:rPr>
                <w:rFonts w:ascii="Roboto Thin" w:eastAsia="Times New Roman" w:hAnsi="Roboto Thin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Las personas que ven buen valor por su dinero tienden a calificar mejor la experiencia.</w:t>
            </w:r>
          </w:p>
        </w:tc>
      </w:tr>
    </w:tbl>
    <w:p w14:paraId="70E2B278" w14:textId="5664258E" w:rsidR="00B67C50" w:rsidRDefault="00B67C50" w:rsidP="00192CE2">
      <w:pPr>
        <w:jc w:val="both"/>
      </w:pPr>
    </w:p>
    <w:p w14:paraId="16F40D98" w14:textId="77777777" w:rsidR="00192CE2" w:rsidRPr="00192CE2" w:rsidRDefault="00192CE2" w:rsidP="00192CE2">
      <w:pPr>
        <w:jc w:val="both"/>
        <w:rPr>
          <w:rFonts w:ascii="Roboto Thin" w:hAnsi="Roboto Thin"/>
        </w:rPr>
      </w:pPr>
      <w:r w:rsidRPr="00192CE2">
        <w:rPr>
          <w:rFonts w:ascii="Roboto Thin" w:hAnsi="Roboto Thin"/>
        </w:rPr>
        <w:t xml:space="preserve">Los resultados muestran que la </w:t>
      </w:r>
      <w:r w:rsidRPr="00192CE2">
        <w:rPr>
          <w:rFonts w:ascii="Roboto" w:hAnsi="Roboto"/>
          <w:b/>
          <w:bCs/>
        </w:rPr>
        <w:t>diversidad de especies</w:t>
      </w:r>
      <w:r w:rsidRPr="00192CE2">
        <w:rPr>
          <w:rFonts w:ascii="Roboto Thin" w:hAnsi="Roboto Thin"/>
        </w:rPr>
        <w:t xml:space="preserve"> es el factor que más influye en la satisfacción general de los visitantes al Acuario de Mazatlán.</w:t>
      </w:r>
    </w:p>
    <w:p w14:paraId="2BBA392A" w14:textId="77777777" w:rsidR="00192CE2" w:rsidRPr="00192CE2" w:rsidRDefault="00192CE2" w:rsidP="00192CE2">
      <w:pPr>
        <w:jc w:val="both"/>
        <w:rPr>
          <w:rFonts w:ascii="Roboto Thin" w:hAnsi="Roboto Thin"/>
        </w:rPr>
      </w:pPr>
      <w:r w:rsidRPr="00192CE2">
        <w:rPr>
          <w:rFonts w:ascii="Roboto Thin" w:hAnsi="Roboto Thin"/>
        </w:rPr>
        <w:t xml:space="preserve">También tienen un impacto significativo la </w:t>
      </w:r>
      <w:r w:rsidRPr="00192CE2">
        <w:rPr>
          <w:rFonts w:ascii="Roboto" w:hAnsi="Roboto"/>
          <w:b/>
          <w:bCs/>
        </w:rPr>
        <w:t>limpieza,</w:t>
      </w:r>
      <w:r w:rsidRPr="00192CE2">
        <w:rPr>
          <w:rFonts w:ascii="Roboto Thin" w:hAnsi="Roboto Thin"/>
        </w:rPr>
        <w:t xml:space="preserve"> la </w:t>
      </w:r>
      <w:r w:rsidRPr="00192CE2">
        <w:rPr>
          <w:rFonts w:ascii="Roboto" w:hAnsi="Roboto"/>
          <w:b/>
          <w:bCs/>
        </w:rPr>
        <w:t>experiencia vivida</w:t>
      </w:r>
      <w:r w:rsidRPr="00192CE2">
        <w:rPr>
          <w:rFonts w:ascii="Roboto Thin" w:hAnsi="Roboto Thin"/>
        </w:rPr>
        <w:t xml:space="preserve">, el </w:t>
      </w:r>
      <w:r w:rsidRPr="00192CE2">
        <w:rPr>
          <w:rFonts w:ascii="Roboto" w:hAnsi="Roboto"/>
          <w:b/>
          <w:bCs/>
        </w:rPr>
        <w:t>entretenimiento</w:t>
      </w:r>
      <w:r w:rsidRPr="00192CE2">
        <w:rPr>
          <w:rFonts w:ascii="Roboto Thin" w:hAnsi="Roboto Thin"/>
        </w:rPr>
        <w:t xml:space="preserve"> y la percepción de valor (</w:t>
      </w:r>
      <w:r w:rsidRPr="00192CE2">
        <w:rPr>
          <w:rFonts w:ascii="Roboto" w:hAnsi="Roboto"/>
          <w:b/>
          <w:bCs/>
        </w:rPr>
        <w:t>precio-servicio</w:t>
      </w:r>
      <w:r w:rsidRPr="00192CE2">
        <w:rPr>
          <w:rFonts w:ascii="Roboto Thin" w:hAnsi="Roboto Thin"/>
        </w:rPr>
        <w:t>).</w:t>
      </w:r>
    </w:p>
    <w:p w14:paraId="0A87B48C" w14:textId="222FDBE6" w:rsidR="00192CE2" w:rsidRDefault="00192CE2" w:rsidP="00192CE2">
      <w:pPr>
        <w:jc w:val="both"/>
        <w:rPr>
          <w:rFonts w:ascii="Roboto Thin" w:hAnsi="Roboto Thin"/>
        </w:rPr>
      </w:pPr>
      <w:r w:rsidRPr="00192CE2">
        <w:rPr>
          <w:rFonts w:ascii="Roboto Thin" w:hAnsi="Roboto Thin"/>
        </w:rPr>
        <w:t xml:space="preserve">En cambio, el </w:t>
      </w:r>
      <w:r w:rsidRPr="00192CE2">
        <w:rPr>
          <w:rFonts w:ascii="Roboto" w:hAnsi="Roboto"/>
          <w:b/>
          <w:bCs/>
        </w:rPr>
        <w:t>servicio del equipo anfitrión</w:t>
      </w:r>
      <w:r w:rsidRPr="00192CE2">
        <w:rPr>
          <w:rFonts w:ascii="Roboto Thin" w:hAnsi="Roboto Thin"/>
        </w:rPr>
        <w:t xml:space="preserve"> no mostró una relación estadísticamente significativa con la experiencia general, lo cual podría deberse a percepciones neutrales o a que no es un diferenciador clave en este contexto.</w:t>
      </w:r>
    </w:p>
    <w:p w14:paraId="37C53177" w14:textId="5C9DE36F" w:rsidR="00192CE2" w:rsidRPr="00192CE2" w:rsidRDefault="00707189" w:rsidP="00192CE2">
      <w:pPr>
        <w:jc w:val="both"/>
        <w:rPr>
          <w:rFonts w:ascii="Roboto Thin" w:hAnsi="Roboto Thin"/>
        </w:rPr>
      </w:pPr>
      <w:r>
        <w:rPr>
          <w:rFonts w:ascii="Roboto Thin" w:hAnsi="Roboto Thin"/>
          <w:noProof/>
        </w:rPr>
        <w:lastRenderedPageBreak/>
        <w:drawing>
          <wp:inline distT="0" distB="0" distL="0" distR="0" wp14:anchorId="302AF0D7" wp14:editId="7E51BDC0">
            <wp:extent cx="5506085" cy="8258810"/>
            <wp:effectExtent l="0" t="0" r="0" b="8890"/>
            <wp:docPr id="1399541430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41430" name="Imagen 1" descr="Imagen que contiene Text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CE2" w:rsidRPr="00192C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Thin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0AEB"/>
    <w:multiLevelType w:val="multilevel"/>
    <w:tmpl w:val="2D6A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6D4A41"/>
    <w:multiLevelType w:val="hybridMultilevel"/>
    <w:tmpl w:val="ECAC3B3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167430"/>
    <w:multiLevelType w:val="multilevel"/>
    <w:tmpl w:val="334C4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C310C7"/>
    <w:multiLevelType w:val="hybridMultilevel"/>
    <w:tmpl w:val="D06E8C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3E6186"/>
    <w:multiLevelType w:val="hybridMultilevel"/>
    <w:tmpl w:val="20DAD01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45717E"/>
    <w:multiLevelType w:val="multilevel"/>
    <w:tmpl w:val="9934F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8520D7"/>
    <w:multiLevelType w:val="hybridMultilevel"/>
    <w:tmpl w:val="254C519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3E2A90"/>
    <w:multiLevelType w:val="multilevel"/>
    <w:tmpl w:val="1EBE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8830BD"/>
    <w:multiLevelType w:val="multilevel"/>
    <w:tmpl w:val="FA203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ED382E"/>
    <w:multiLevelType w:val="multilevel"/>
    <w:tmpl w:val="0E6A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D07129"/>
    <w:multiLevelType w:val="hybridMultilevel"/>
    <w:tmpl w:val="15EA343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372119"/>
    <w:multiLevelType w:val="multilevel"/>
    <w:tmpl w:val="068ED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1488963">
    <w:abstractNumId w:val="0"/>
  </w:num>
  <w:num w:numId="2" w16cid:durableId="360327992">
    <w:abstractNumId w:val="5"/>
  </w:num>
  <w:num w:numId="3" w16cid:durableId="1447849940">
    <w:abstractNumId w:val="7"/>
  </w:num>
  <w:num w:numId="4" w16cid:durableId="1825469243">
    <w:abstractNumId w:val="9"/>
  </w:num>
  <w:num w:numId="5" w16cid:durableId="1053845142">
    <w:abstractNumId w:val="11"/>
  </w:num>
  <w:num w:numId="6" w16cid:durableId="80100820">
    <w:abstractNumId w:val="8"/>
  </w:num>
  <w:num w:numId="7" w16cid:durableId="1093088426">
    <w:abstractNumId w:val="2"/>
  </w:num>
  <w:num w:numId="8" w16cid:durableId="1563326983">
    <w:abstractNumId w:val="4"/>
  </w:num>
  <w:num w:numId="9" w16cid:durableId="1625110945">
    <w:abstractNumId w:val="1"/>
  </w:num>
  <w:num w:numId="10" w16cid:durableId="430125672">
    <w:abstractNumId w:val="10"/>
  </w:num>
  <w:num w:numId="11" w16cid:durableId="1888759421">
    <w:abstractNumId w:val="3"/>
  </w:num>
  <w:num w:numId="12" w16cid:durableId="14180144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50"/>
    <w:rsid w:val="000434A7"/>
    <w:rsid w:val="00192CE2"/>
    <w:rsid w:val="0045301D"/>
    <w:rsid w:val="00707189"/>
    <w:rsid w:val="00B67C50"/>
    <w:rsid w:val="00C42B1B"/>
    <w:rsid w:val="00E726A6"/>
    <w:rsid w:val="00F7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5F934"/>
  <w15:chartTrackingRefBased/>
  <w15:docId w15:val="{CE1CE534-B8E8-4F9D-97DE-169FB159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7C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7C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67C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7C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7C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7C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7C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7C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7C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67C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67C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67C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7C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7C5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7C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7C5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7C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7C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67C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67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67C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67C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67C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67C5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67C5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67C5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7C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7C5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67C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olaf gonzalez guzman</dc:creator>
  <cp:keywords/>
  <dc:description/>
  <cp:lastModifiedBy>julio olaf gonzalez guzman</cp:lastModifiedBy>
  <cp:revision>1</cp:revision>
  <dcterms:created xsi:type="dcterms:W3CDTF">2025-05-26T18:13:00Z</dcterms:created>
  <dcterms:modified xsi:type="dcterms:W3CDTF">2025-05-26T18:46:00Z</dcterms:modified>
</cp:coreProperties>
</file>