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00ED1" w14:textId="372DF444" w:rsidR="0010118A" w:rsidRPr="0010118A" w:rsidRDefault="0010118A" w:rsidP="0010118A">
      <w:pPr>
        <w:rPr>
          <w:rFonts w:ascii="Lato" w:hAnsi="Lato"/>
          <w:b/>
          <w:bCs/>
          <w:sz w:val="72"/>
          <w:szCs w:val="72"/>
        </w:rPr>
      </w:pPr>
      <w:r w:rsidRPr="0010118A">
        <w:rPr>
          <w:rFonts w:ascii="Lato" w:hAnsi="Lato"/>
          <w:b/>
          <w:bCs/>
          <w:sz w:val="72"/>
          <w:szCs w:val="72"/>
        </w:rPr>
        <w:t>RESUMEN EJECUTIVO</w:t>
      </w:r>
    </w:p>
    <w:p w14:paraId="1BB7DD03" w14:textId="4C7C4914" w:rsidR="00894535" w:rsidRDefault="0010118A" w:rsidP="00894535">
      <w:pPr>
        <w:spacing w:after="120"/>
        <w:rPr>
          <w:rFonts w:ascii="Roboto Thin" w:hAnsi="Roboto Thin"/>
        </w:rPr>
      </w:pPr>
      <w:r w:rsidRPr="0010118A">
        <w:rPr>
          <w:rFonts w:ascii="Roboto Thin" w:hAnsi="Roboto Thin"/>
        </w:rPr>
        <w:t xml:space="preserve">En la zona de </w:t>
      </w:r>
      <w:proofErr w:type="spellStart"/>
      <w:r w:rsidRPr="0010118A">
        <w:rPr>
          <w:b/>
          <w:bCs/>
        </w:rPr>
        <w:t>Imala</w:t>
      </w:r>
      <w:proofErr w:type="spellEnd"/>
      <w:r w:rsidRPr="0010118A">
        <w:rPr>
          <w:rFonts w:ascii="Roboto Thin" w:hAnsi="Roboto Thin"/>
        </w:rPr>
        <w:t xml:space="preserve">, donde el precio promedio por unidad vendida es de </w:t>
      </w:r>
      <w:r w:rsidRPr="0010118A">
        <w:rPr>
          <w:b/>
          <w:bCs/>
        </w:rPr>
        <w:t>$3.4 millones</w:t>
      </w:r>
      <w:r w:rsidRPr="0010118A">
        <w:rPr>
          <w:rFonts w:ascii="Roboto Thin" w:hAnsi="Roboto Thin"/>
        </w:rPr>
        <w:t xml:space="preserve"> y el precio por m² es de </w:t>
      </w:r>
      <w:r w:rsidRPr="0010118A">
        <w:rPr>
          <w:b/>
          <w:bCs/>
        </w:rPr>
        <w:t>$23,446</w:t>
      </w:r>
      <w:r w:rsidRPr="0010118A">
        <w:rPr>
          <w:rFonts w:ascii="Roboto Thin" w:hAnsi="Roboto Thin"/>
        </w:rPr>
        <w:t xml:space="preserve">, el mercado muestra </w:t>
      </w:r>
      <w:r w:rsidRPr="0010118A">
        <w:rPr>
          <w:b/>
          <w:bCs/>
        </w:rPr>
        <w:t>baja absorción y sobrevaloración</w:t>
      </w:r>
      <w:r w:rsidRPr="0010118A">
        <w:rPr>
          <w:rFonts w:ascii="Roboto Thin" w:hAnsi="Roboto Thin"/>
        </w:rPr>
        <w:t>, considerando el entorno de inseguridad y la baja dinámica de compra.</w:t>
      </w:r>
    </w:p>
    <w:p w14:paraId="0E69616C" w14:textId="1F7662C5" w:rsidR="0010118A" w:rsidRPr="00894535" w:rsidRDefault="0010118A" w:rsidP="00894535">
      <w:pPr>
        <w:spacing w:after="120"/>
        <w:rPr>
          <w:rFonts w:ascii="Roboto Thin" w:hAnsi="Roboto Thin"/>
        </w:rPr>
      </w:pPr>
      <w:r w:rsidRPr="0010118A">
        <w:br/>
      </w:r>
      <w:r w:rsidRPr="0010118A">
        <w:rPr>
          <w:b/>
          <w:bCs/>
        </w:rPr>
        <w:t>E</w:t>
      </w:r>
      <w:r w:rsidR="00894535" w:rsidRPr="0010118A">
        <w:rPr>
          <w:b/>
          <w:bCs/>
        </w:rPr>
        <w:t>stimación del precio por metraje</w:t>
      </w:r>
    </w:p>
    <w:p w14:paraId="3B58719C" w14:textId="1FE72F22" w:rsidR="0010118A" w:rsidRPr="0010118A" w:rsidRDefault="0010118A" w:rsidP="00894535">
      <w:pPr>
        <w:spacing w:after="120"/>
        <w:rPr>
          <w:rFonts w:ascii="Roboto Thin" w:hAnsi="Roboto Thin"/>
        </w:rPr>
      </w:pPr>
      <w:r w:rsidRPr="0010118A">
        <w:rPr>
          <w:rFonts w:ascii="Roboto Thin" w:hAnsi="Roboto Thin"/>
        </w:rPr>
        <w:t xml:space="preserve">Precio base por m² en </w:t>
      </w:r>
      <w:proofErr w:type="spellStart"/>
      <w:r w:rsidRPr="0010118A">
        <w:rPr>
          <w:rFonts w:ascii="Roboto Thin" w:hAnsi="Roboto Thin"/>
        </w:rPr>
        <w:t>Imala</w:t>
      </w:r>
      <w:proofErr w:type="spellEnd"/>
      <w:r w:rsidRPr="0010118A">
        <w:rPr>
          <w:rFonts w:ascii="Roboto Thin" w:hAnsi="Roboto Thin"/>
        </w:rPr>
        <w:t xml:space="preserve"> (marzo 2025):</w:t>
      </w:r>
      <w:r>
        <w:rPr>
          <w:rFonts w:ascii="Roboto Thin" w:hAnsi="Roboto Thin"/>
        </w:rPr>
        <w:t xml:space="preserve"> </w:t>
      </w:r>
      <w:r w:rsidRPr="0010118A">
        <w:rPr>
          <w:b/>
          <w:bCs/>
        </w:rPr>
        <w:t>$23,446 por m²</w:t>
      </w:r>
    </w:p>
    <w:p w14:paraId="4B0B2F15" w14:textId="4519233C" w:rsidR="0010118A" w:rsidRPr="0010118A" w:rsidRDefault="0010118A" w:rsidP="00894535">
      <w:pPr>
        <w:spacing w:after="120"/>
        <w:rPr>
          <w:rFonts w:ascii="Roboto Thin" w:hAnsi="Roboto Thin"/>
        </w:rPr>
      </w:pPr>
      <w:r w:rsidRPr="0010118A">
        <w:rPr>
          <w:rFonts w:ascii="Roboto Thin" w:hAnsi="Roboto Thin"/>
        </w:rPr>
        <w:t xml:space="preserve">Nota: Este valor es superior al promedio de desarrollos exitosos en Culiacán, que ronda </w:t>
      </w:r>
      <w:r w:rsidRPr="0010118A">
        <w:rPr>
          <w:b/>
          <w:bCs/>
        </w:rPr>
        <w:t>$22,000–$23,000/m²</w:t>
      </w:r>
      <w:r w:rsidRPr="0010118A">
        <w:rPr>
          <w:rFonts w:ascii="Roboto Thin" w:hAnsi="Roboto Thin"/>
        </w:rPr>
        <w:t xml:space="preserve"> en zonas con </w:t>
      </w:r>
      <w:r w:rsidR="00755451">
        <w:rPr>
          <w:rFonts w:ascii="Roboto Thin" w:hAnsi="Roboto Thin"/>
        </w:rPr>
        <w:t>mayor</w:t>
      </w:r>
      <w:r w:rsidRPr="0010118A">
        <w:rPr>
          <w:rFonts w:ascii="Roboto Thin" w:hAnsi="Roboto Thin"/>
        </w:rPr>
        <w:t xml:space="preserve"> absorción.</w:t>
      </w:r>
    </w:p>
    <w:p w14:paraId="01360455" w14:textId="33534423" w:rsidR="000434A7" w:rsidRPr="0010118A" w:rsidRDefault="0010118A" w:rsidP="00894535">
      <w:pPr>
        <w:spacing w:after="120"/>
        <w:rPr>
          <w:b/>
          <w:bCs/>
        </w:rPr>
      </w:pPr>
      <w:r w:rsidRPr="0010118A">
        <w:rPr>
          <w:b/>
          <w:bCs/>
        </w:rPr>
        <w:t>Precio estimado por tamaño</w:t>
      </w:r>
    </w:p>
    <w:tbl>
      <w:tblPr>
        <w:tblW w:w="921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7"/>
        <w:gridCol w:w="2417"/>
        <w:gridCol w:w="5144"/>
      </w:tblGrid>
      <w:tr w:rsidR="00894535" w:rsidRPr="0010118A" w14:paraId="55A90E19" w14:textId="77777777" w:rsidTr="00755451">
        <w:trPr>
          <w:trHeight w:val="617"/>
        </w:trPr>
        <w:tc>
          <w:tcPr>
            <w:tcW w:w="1657" w:type="dxa"/>
            <w:shd w:val="clear" w:color="auto" w:fill="auto"/>
            <w:vAlign w:val="center"/>
            <w:hideMark/>
          </w:tcPr>
          <w:p w14:paraId="129EC7F3" w14:textId="77777777" w:rsidR="00894535" w:rsidRPr="0010118A" w:rsidRDefault="00894535" w:rsidP="00894535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Tamaño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14:paraId="706974AA" w14:textId="77777777" w:rsidR="00894535" w:rsidRPr="0010118A" w:rsidRDefault="00894535" w:rsidP="00894535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Precio estimado actual</w:t>
            </w: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18AD913A" w14:textId="02B97E75" w:rsidR="00894535" w:rsidRPr="0010118A" w:rsidRDefault="00894535" w:rsidP="00894535">
            <w:pPr>
              <w:spacing w:after="0" w:line="240" w:lineRule="auto"/>
              <w:ind w:right="113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Comentario</w:t>
            </w:r>
          </w:p>
        </w:tc>
      </w:tr>
      <w:tr w:rsidR="00894535" w:rsidRPr="0010118A" w14:paraId="7C04432B" w14:textId="77777777" w:rsidTr="00755451">
        <w:trPr>
          <w:trHeight w:val="815"/>
        </w:trPr>
        <w:tc>
          <w:tcPr>
            <w:tcW w:w="1657" w:type="dxa"/>
            <w:shd w:val="clear" w:color="auto" w:fill="auto"/>
            <w:vAlign w:val="center"/>
            <w:hideMark/>
          </w:tcPr>
          <w:p w14:paraId="518EBF7B" w14:textId="77777777" w:rsidR="00894535" w:rsidRPr="0010118A" w:rsidRDefault="00894535" w:rsidP="00894535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67 m²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14:paraId="6C54A8D3" w14:textId="77777777" w:rsidR="00894535" w:rsidRPr="0010118A" w:rsidRDefault="00894535" w:rsidP="00894535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$1,571,882</w:t>
            </w: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06DD8A03" w14:textId="34AEEBA0" w:rsidR="00894535" w:rsidRPr="0010118A" w:rsidRDefault="00894535" w:rsidP="00894535">
            <w:pPr>
              <w:spacing w:after="0" w:line="240" w:lineRule="auto"/>
              <w:ind w:right="113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A este precio sería </w:t>
            </w:r>
            <w:r w:rsidRPr="0010118A">
              <w:rPr>
                <w:rFonts w:eastAsia="Times New Roma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 xml:space="preserve">más </w:t>
            </w:r>
            <w:r w:rsidR="00755451">
              <w:rPr>
                <w:rFonts w:eastAsia="Times New Roma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viable</w:t>
            </w: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 con </w:t>
            </w:r>
            <w:r w:rsidR="00755451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la </w:t>
            </w: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absorci</w:t>
            </w:r>
            <w:r w:rsidR="00755451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ón </w:t>
            </w: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de</w:t>
            </w:r>
            <w:r w:rsidR="00755451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l </w:t>
            </w: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mercado.</w:t>
            </w:r>
          </w:p>
        </w:tc>
      </w:tr>
      <w:tr w:rsidR="00894535" w:rsidRPr="0010118A" w14:paraId="0AF6254B" w14:textId="77777777" w:rsidTr="00755451">
        <w:trPr>
          <w:trHeight w:val="848"/>
        </w:trPr>
        <w:tc>
          <w:tcPr>
            <w:tcW w:w="1657" w:type="dxa"/>
            <w:shd w:val="clear" w:color="auto" w:fill="auto"/>
            <w:vAlign w:val="center"/>
            <w:hideMark/>
          </w:tcPr>
          <w:p w14:paraId="4A91BDA9" w14:textId="77777777" w:rsidR="00894535" w:rsidRPr="0010118A" w:rsidRDefault="00894535" w:rsidP="00894535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90 m²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14:paraId="5425CBBE" w14:textId="77777777" w:rsidR="00894535" w:rsidRPr="0010118A" w:rsidRDefault="00894535" w:rsidP="00894535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$2,110,140</w:t>
            </w: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49061F93" w14:textId="7AE875B0" w:rsidR="00894535" w:rsidRPr="0010118A" w:rsidRDefault="00894535" w:rsidP="00894535">
            <w:pPr>
              <w:spacing w:after="0" w:line="240" w:lineRule="auto"/>
              <w:ind w:right="113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Está por debajo del precio promedio de </w:t>
            </w:r>
            <w:proofErr w:type="spellStart"/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Imala</w:t>
            </w:r>
            <w:proofErr w:type="spellEnd"/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, pero </w:t>
            </w:r>
            <w:r w:rsidR="00755451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más alienado</w:t>
            </w:r>
            <w:r w:rsidRPr="0010118A">
              <w:rPr>
                <w:rFonts w:eastAsia="Times New Roma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 xml:space="preserve"> al poder de compra actual.</w:t>
            </w:r>
          </w:p>
        </w:tc>
      </w:tr>
    </w:tbl>
    <w:p w14:paraId="16F59544" w14:textId="77777777" w:rsidR="00894535" w:rsidRDefault="00894535">
      <w:pPr>
        <w:rPr>
          <w:rFonts w:ascii="Segoe UI Emoji" w:hAnsi="Segoe UI Emoji" w:cs="Segoe UI Emoji"/>
        </w:rPr>
      </w:pPr>
    </w:p>
    <w:p w14:paraId="67572BEC" w14:textId="70B00DB3" w:rsidR="0010118A" w:rsidRPr="00894535" w:rsidRDefault="00894535">
      <w:pPr>
        <w:rPr>
          <w:b/>
          <w:bCs/>
        </w:rPr>
      </w:pPr>
      <w:r>
        <w:rPr>
          <w:b/>
          <w:bCs/>
        </w:rPr>
        <w:t>E</w:t>
      </w:r>
      <w:r w:rsidRPr="00894535">
        <w:rPr>
          <w:b/>
          <w:bCs/>
        </w:rPr>
        <w:t xml:space="preserve">videncia de sobrevaluación en </w:t>
      </w:r>
      <w:proofErr w:type="spellStart"/>
      <w:r>
        <w:rPr>
          <w:b/>
          <w:bCs/>
        </w:rPr>
        <w:t>I</w:t>
      </w:r>
      <w:r w:rsidRPr="00894535">
        <w:rPr>
          <w:b/>
          <w:bCs/>
        </w:rPr>
        <w:t>mala</w:t>
      </w:r>
      <w:proofErr w:type="spellEnd"/>
    </w:p>
    <w:tbl>
      <w:tblPr>
        <w:tblW w:w="927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7"/>
        <w:gridCol w:w="1337"/>
        <w:gridCol w:w="4754"/>
      </w:tblGrid>
      <w:tr w:rsidR="00894535" w:rsidRPr="0010118A" w14:paraId="1E7BB0D4" w14:textId="77777777" w:rsidTr="00755451">
        <w:trPr>
          <w:trHeight w:val="401"/>
        </w:trPr>
        <w:tc>
          <w:tcPr>
            <w:tcW w:w="3187" w:type="dxa"/>
            <w:shd w:val="clear" w:color="auto" w:fill="auto"/>
            <w:vAlign w:val="center"/>
            <w:hideMark/>
          </w:tcPr>
          <w:p w14:paraId="23C77CC3" w14:textId="77777777" w:rsidR="0010118A" w:rsidRPr="0010118A" w:rsidRDefault="0010118A" w:rsidP="00894535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Indicador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370A0BF3" w14:textId="77777777" w:rsidR="0010118A" w:rsidRPr="0010118A" w:rsidRDefault="0010118A" w:rsidP="00894535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Valor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14:paraId="17792B38" w14:textId="77777777" w:rsidR="0010118A" w:rsidRPr="0010118A" w:rsidRDefault="0010118A" w:rsidP="00894535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Análisis</w:t>
            </w:r>
          </w:p>
        </w:tc>
      </w:tr>
      <w:tr w:rsidR="00894535" w:rsidRPr="0010118A" w14:paraId="2ADFC0A0" w14:textId="77777777" w:rsidTr="00755451">
        <w:trPr>
          <w:trHeight w:val="807"/>
        </w:trPr>
        <w:tc>
          <w:tcPr>
            <w:tcW w:w="3187" w:type="dxa"/>
            <w:shd w:val="clear" w:color="auto" w:fill="auto"/>
            <w:vAlign w:val="center"/>
            <w:hideMark/>
          </w:tcPr>
          <w:p w14:paraId="0A3B7250" w14:textId="77777777" w:rsidR="0010118A" w:rsidRPr="0010118A" w:rsidRDefault="0010118A" w:rsidP="00894535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Absorción mensual en </w:t>
            </w:r>
            <w:proofErr w:type="spellStart"/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Imala</w:t>
            </w:r>
            <w:proofErr w:type="spellEnd"/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259D0A81" w14:textId="7CE21DBD" w:rsidR="0010118A" w:rsidRPr="0010118A" w:rsidRDefault="0010118A" w:rsidP="00894535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0.2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14:paraId="14A8CD7C" w14:textId="2044AFB6" w:rsidR="0010118A" w:rsidRPr="0010118A" w:rsidRDefault="00785C68" w:rsidP="00894535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Se</w:t>
            </w:r>
            <w:r w:rsidR="0010118A"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 está vendiendo menos de 1 casa al mes por desarrollo.</w:t>
            </w:r>
          </w:p>
        </w:tc>
      </w:tr>
      <w:tr w:rsidR="00894535" w:rsidRPr="0010118A" w14:paraId="5C141EAB" w14:textId="77777777" w:rsidTr="00755451">
        <w:trPr>
          <w:trHeight w:val="1206"/>
        </w:trPr>
        <w:tc>
          <w:tcPr>
            <w:tcW w:w="3187" w:type="dxa"/>
            <w:shd w:val="clear" w:color="auto" w:fill="auto"/>
            <w:vAlign w:val="center"/>
            <w:hideMark/>
          </w:tcPr>
          <w:p w14:paraId="64ED84E7" w14:textId="77777777" w:rsidR="0010118A" w:rsidRPr="0010118A" w:rsidRDefault="0010118A" w:rsidP="00894535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Cambio intermensual de absorción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07107667" w14:textId="77777777" w:rsidR="0010118A" w:rsidRPr="0010118A" w:rsidRDefault="0010118A" w:rsidP="00894535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-83%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14:paraId="1D9AF0C9" w14:textId="29E36351" w:rsidR="0010118A" w:rsidRPr="0010118A" w:rsidRDefault="0010118A" w:rsidP="00894535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La demanda se desplomó, posiblemente por percepción de inseguridad o sobreoferta</w:t>
            </w:r>
            <w:r w:rsidR="00785C68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 contra el periodo anterior</w:t>
            </w: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.</w:t>
            </w:r>
          </w:p>
        </w:tc>
      </w:tr>
      <w:tr w:rsidR="00894535" w:rsidRPr="0010118A" w14:paraId="0D47C421" w14:textId="77777777" w:rsidTr="00755451">
        <w:trPr>
          <w:trHeight w:val="804"/>
        </w:trPr>
        <w:tc>
          <w:tcPr>
            <w:tcW w:w="3187" w:type="dxa"/>
            <w:shd w:val="clear" w:color="auto" w:fill="auto"/>
            <w:vAlign w:val="center"/>
            <w:hideMark/>
          </w:tcPr>
          <w:p w14:paraId="0AE96330" w14:textId="77777777" w:rsidR="0010118A" w:rsidRPr="0010118A" w:rsidRDefault="0010118A" w:rsidP="00894535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Tiempo para agotar inventario actual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368ECC7B" w14:textId="77777777" w:rsidR="0010118A" w:rsidRPr="0010118A" w:rsidRDefault="0010118A" w:rsidP="00894535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221 meses (≈18 años)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14:paraId="1F474C53" w14:textId="63E68934" w:rsidR="0010118A" w:rsidRPr="0010118A" w:rsidRDefault="00A31052" w:rsidP="00894535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Exceso de oferta</w:t>
            </w:r>
          </w:p>
        </w:tc>
      </w:tr>
      <w:tr w:rsidR="00894535" w:rsidRPr="0010118A" w14:paraId="40540247" w14:textId="77777777" w:rsidTr="00755451">
        <w:trPr>
          <w:trHeight w:val="828"/>
        </w:trPr>
        <w:tc>
          <w:tcPr>
            <w:tcW w:w="3187" w:type="dxa"/>
            <w:shd w:val="clear" w:color="auto" w:fill="auto"/>
            <w:vAlign w:val="center"/>
            <w:hideMark/>
          </w:tcPr>
          <w:p w14:paraId="153BCD67" w14:textId="77777777" w:rsidR="0010118A" w:rsidRPr="0010118A" w:rsidRDefault="0010118A" w:rsidP="00894535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% vendido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3243B0BA" w14:textId="77777777" w:rsidR="0010118A" w:rsidRPr="0010118A" w:rsidRDefault="0010118A" w:rsidP="00894535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34%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14:paraId="69DF8DE9" w14:textId="4C3FFC3C" w:rsidR="0010118A" w:rsidRPr="0010118A" w:rsidRDefault="00A31052" w:rsidP="00894535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El mercado no está respondiendo a los precios.</w:t>
            </w:r>
          </w:p>
        </w:tc>
      </w:tr>
      <w:tr w:rsidR="00894535" w:rsidRPr="0010118A" w14:paraId="259BDC7F" w14:textId="77777777" w:rsidTr="00755451">
        <w:trPr>
          <w:trHeight w:val="1206"/>
        </w:trPr>
        <w:tc>
          <w:tcPr>
            <w:tcW w:w="3187" w:type="dxa"/>
            <w:shd w:val="clear" w:color="auto" w:fill="auto"/>
            <w:vAlign w:val="center"/>
            <w:hideMark/>
          </w:tcPr>
          <w:p w14:paraId="71E84770" w14:textId="08D17C0E" w:rsidR="0010118A" w:rsidRPr="0010118A" w:rsidRDefault="0010118A" w:rsidP="00894535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Precio por m² en </w:t>
            </w:r>
            <w:r w:rsidR="00755451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desarrollos</w:t>
            </w: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 con alta absorción (</w:t>
            </w:r>
            <w:proofErr w:type="spellStart"/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Stanza</w:t>
            </w:r>
            <w:proofErr w:type="spellEnd"/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, </w:t>
            </w:r>
            <w:r w:rsidR="00755451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Gran </w:t>
            </w:r>
            <w:proofErr w:type="spellStart"/>
            <w:r w:rsidR="00755451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Valia</w:t>
            </w: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Vitia</w:t>
            </w:r>
            <w:proofErr w:type="spellEnd"/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, Perisur)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7709983C" w14:textId="77777777" w:rsidR="0010118A" w:rsidRPr="0010118A" w:rsidRDefault="0010118A" w:rsidP="00894535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$21,000 – $22,500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14:paraId="46221C13" w14:textId="30FDAA14" w:rsidR="0010118A" w:rsidRPr="0010118A" w:rsidRDefault="0010118A" w:rsidP="00894535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Las zonas</w:t>
            </w:r>
            <w:r w:rsidR="00A31052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 con mayor movimiento tienen precios inferiores</w:t>
            </w: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 y metrajes </w:t>
            </w:r>
            <w:r w:rsidR="00A31052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entre </w:t>
            </w: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65–90 m².</w:t>
            </w:r>
          </w:p>
        </w:tc>
      </w:tr>
    </w:tbl>
    <w:p w14:paraId="24FBF149" w14:textId="4FFC0289" w:rsidR="0010118A" w:rsidRPr="0010118A" w:rsidRDefault="0010118A" w:rsidP="00785C68">
      <w:pPr>
        <w:spacing w:after="120"/>
        <w:rPr>
          <w:b/>
          <w:bCs/>
        </w:rPr>
      </w:pPr>
      <w:r w:rsidRPr="0010118A">
        <w:rPr>
          <w:b/>
          <w:bCs/>
        </w:rPr>
        <w:lastRenderedPageBreak/>
        <w:t>C</w:t>
      </w:r>
      <w:r w:rsidR="00785C68" w:rsidRPr="00785C68">
        <w:rPr>
          <w:b/>
          <w:bCs/>
        </w:rPr>
        <w:t>onclusión y precio sugerido</w:t>
      </w:r>
    </w:p>
    <w:p w14:paraId="2BEEFA9F" w14:textId="219311DC" w:rsidR="0010118A" w:rsidRPr="00785C68" w:rsidRDefault="0010118A" w:rsidP="00785C68">
      <w:pPr>
        <w:spacing w:after="120"/>
      </w:pPr>
      <w:r w:rsidRPr="0010118A">
        <w:rPr>
          <w:rFonts w:ascii="Roboto Thin" w:hAnsi="Roboto Thin"/>
        </w:rPr>
        <w:t xml:space="preserve">Basado en la evidencia, el precio de referencia de </w:t>
      </w:r>
      <w:r w:rsidRPr="0010118A">
        <w:rPr>
          <w:b/>
          <w:bCs/>
        </w:rPr>
        <w:t xml:space="preserve">$3.4 M para casas de 147.8 m² en </w:t>
      </w:r>
      <w:proofErr w:type="spellStart"/>
      <w:r w:rsidRPr="0010118A">
        <w:rPr>
          <w:b/>
          <w:bCs/>
        </w:rPr>
        <w:t>Imala</w:t>
      </w:r>
      <w:proofErr w:type="spellEnd"/>
      <w:r w:rsidRPr="0010118A">
        <w:rPr>
          <w:rFonts w:ascii="Roboto Thin" w:hAnsi="Roboto Thin"/>
        </w:rPr>
        <w:t xml:space="preserve"> </w:t>
      </w:r>
      <w:r w:rsidR="00A31052">
        <w:rPr>
          <w:rFonts w:ascii="Roboto Thin" w:hAnsi="Roboto Thin"/>
        </w:rPr>
        <w:t xml:space="preserve">no corresponde a casas de </w:t>
      </w:r>
      <w:proofErr w:type="spellStart"/>
      <w:r w:rsidR="00A31052">
        <w:rPr>
          <w:rFonts w:ascii="Roboto Thin" w:hAnsi="Roboto Thin"/>
        </w:rPr>
        <w:t>manor</w:t>
      </w:r>
      <w:proofErr w:type="spellEnd"/>
      <w:r w:rsidR="00A31052">
        <w:rPr>
          <w:rFonts w:ascii="Roboto Thin" w:hAnsi="Roboto Thin"/>
        </w:rPr>
        <w:t xml:space="preserve"> tamaño. </w:t>
      </w:r>
      <w:r w:rsidRPr="0010118A">
        <w:rPr>
          <w:rFonts w:ascii="Roboto Thin" w:hAnsi="Roboto Thin"/>
        </w:rPr>
        <w:t xml:space="preserve">Dado el </w:t>
      </w:r>
      <w:r w:rsidR="00A31052">
        <w:rPr>
          <w:b/>
          <w:bCs/>
        </w:rPr>
        <w:t xml:space="preserve">nivel de </w:t>
      </w:r>
      <w:r w:rsidRPr="0010118A">
        <w:rPr>
          <w:b/>
          <w:bCs/>
        </w:rPr>
        <w:t>interés, la inseguridad, el tiempo estimado de venta de 221 meses,</w:t>
      </w:r>
      <w:r w:rsidRPr="0010118A">
        <w:rPr>
          <w:rFonts w:ascii="Roboto Thin" w:hAnsi="Roboto Thin"/>
        </w:rPr>
        <w:t xml:space="preserve"> y la </w:t>
      </w:r>
      <w:r w:rsidRPr="0010118A">
        <w:rPr>
          <w:b/>
          <w:bCs/>
        </w:rPr>
        <w:t>caída de absorción</w:t>
      </w:r>
      <w:r w:rsidRPr="0010118A">
        <w:rPr>
          <w:rFonts w:ascii="Roboto Thin" w:hAnsi="Roboto Thin"/>
        </w:rPr>
        <w:t xml:space="preserve">, el </w:t>
      </w:r>
      <w:r w:rsidRPr="0010118A">
        <w:rPr>
          <w:b/>
          <w:bCs/>
        </w:rPr>
        <w:t xml:space="preserve">precio debería ajustarse </w:t>
      </w:r>
      <w:r w:rsidR="00A31052">
        <w:rPr>
          <w:b/>
          <w:bCs/>
        </w:rPr>
        <w:t xml:space="preserve">para coincidir </w:t>
      </w:r>
      <w:r w:rsidRPr="0010118A">
        <w:rPr>
          <w:b/>
          <w:bCs/>
        </w:rPr>
        <w:t>con la demanda real.</w:t>
      </w:r>
    </w:p>
    <w:tbl>
      <w:tblPr>
        <w:tblW w:w="906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2"/>
        <w:gridCol w:w="1905"/>
        <w:gridCol w:w="5135"/>
      </w:tblGrid>
      <w:tr w:rsidR="00785C68" w:rsidRPr="0010118A" w14:paraId="46C18B46" w14:textId="6BC54C05" w:rsidTr="00785C68">
        <w:trPr>
          <w:trHeight w:val="302"/>
        </w:trPr>
        <w:tc>
          <w:tcPr>
            <w:tcW w:w="2022" w:type="dxa"/>
            <w:shd w:val="clear" w:color="auto" w:fill="auto"/>
            <w:vAlign w:val="center"/>
            <w:hideMark/>
          </w:tcPr>
          <w:p w14:paraId="6A05A8EB" w14:textId="77777777" w:rsidR="00785C68" w:rsidRPr="0010118A" w:rsidRDefault="00785C68" w:rsidP="00785C68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Tamaño vivienda</w:t>
            </w:r>
          </w:p>
        </w:tc>
        <w:tc>
          <w:tcPr>
            <w:tcW w:w="1905" w:type="dxa"/>
            <w:shd w:val="clear" w:color="auto" w:fill="auto"/>
            <w:vAlign w:val="center"/>
            <w:hideMark/>
          </w:tcPr>
          <w:p w14:paraId="762E1F6D" w14:textId="77777777" w:rsidR="00785C68" w:rsidRPr="0010118A" w:rsidRDefault="00785C68" w:rsidP="00785C68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Precio sugerido</w:t>
            </w:r>
          </w:p>
        </w:tc>
        <w:tc>
          <w:tcPr>
            <w:tcW w:w="5135" w:type="dxa"/>
            <w:shd w:val="clear" w:color="auto" w:fill="auto"/>
            <w:vAlign w:val="center"/>
            <w:hideMark/>
          </w:tcPr>
          <w:p w14:paraId="6278938E" w14:textId="77777777" w:rsidR="00785C68" w:rsidRPr="0010118A" w:rsidRDefault="00785C68" w:rsidP="00785C68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Justificación</w:t>
            </w:r>
          </w:p>
        </w:tc>
      </w:tr>
      <w:tr w:rsidR="00785C68" w:rsidRPr="0010118A" w14:paraId="3A3882B5" w14:textId="73B68764" w:rsidTr="00785C68">
        <w:trPr>
          <w:trHeight w:val="741"/>
        </w:trPr>
        <w:tc>
          <w:tcPr>
            <w:tcW w:w="2022" w:type="dxa"/>
            <w:shd w:val="clear" w:color="auto" w:fill="auto"/>
            <w:vAlign w:val="center"/>
            <w:hideMark/>
          </w:tcPr>
          <w:p w14:paraId="0A08CA5C" w14:textId="77777777" w:rsidR="00785C68" w:rsidRPr="0010118A" w:rsidRDefault="00785C68" w:rsidP="00785C68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67 m²</w:t>
            </w:r>
          </w:p>
        </w:tc>
        <w:tc>
          <w:tcPr>
            <w:tcW w:w="1905" w:type="dxa"/>
            <w:shd w:val="clear" w:color="auto" w:fill="auto"/>
            <w:vAlign w:val="center"/>
            <w:hideMark/>
          </w:tcPr>
          <w:p w14:paraId="0E47DB4E" w14:textId="77777777" w:rsidR="00785C68" w:rsidRPr="0010118A" w:rsidRDefault="00785C68" w:rsidP="00785C68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$1.45 – $1.65 M</w:t>
            </w:r>
          </w:p>
        </w:tc>
        <w:tc>
          <w:tcPr>
            <w:tcW w:w="5135" w:type="dxa"/>
            <w:shd w:val="clear" w:color="auto" w:fill="auto"/>
            <w:vAlign w:val="center"/>
            <w:hideMark/>
          </w:tcPr>
          <w:p w14:paraId="75B4F56E" w14:textId="10BA6B4A" w:rsidR="00785C68" w:rsidRPr="0010118A" w:rsidRDefault="00785C68" w:rsidP="00785C68">
            <w:pPr>
              <w:jc w:val="center"/>
              <w:rPr>
                <w:rFonts w:ascii="Roboto Thin" w:hAnsi="Roboto Thin"/>
                <w:color w:val="000000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Equivale a ~$21,600–24,600 por m², similar a proyectos que sí se están vendiendo</w:t>
            </w: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 (</w:t>
            </w:r>
            <w:proofErr w:type="spellStart"/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Stanza</w:t>
            </w:r>
            <w:proofErr w:type="spellEnd"/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 y </w:t>
            </w:r>
            <w:r w:rsidRPr="00785C68">
              <w:rPr>
                <w:rFonts w:ascii="Roboto Thin" w:eastAsia="Times New Roman" w:hAnsi="Roboto Thin"/>
                <w:color w:val="000000"/>
              </w:rPr>
              <w:t>Gran Valia</w:t>
            </w:r>
            <w:r>
              <w:rPr>
                <w:rFonts w:ascii="Roboto Thin" w:eastAsia="Times New Roman" w:hAnsi="Roboto Thin"/>
                <w:color w:val="000000"/>
              </w:rPr>
              <w:t>)</w:t>
            </w:r>
          </w:p>
        </w:tc>
      </w:tr>
      <w:tr w:rsidR="00785C68" w:rsidRPr="0010118A" w14:paraId="7AD8F57E" w14:textId="6CDA8A53" w:rsidTr="00785C68">
        <w:trPr>
          <w:trHeight w:val="1215"/>
        </w:trPr>
        <w:tc>
          <w:tcPr>
            <w:tcW w:w="2022" w:type="dxa"/>
            <w:shd w:val="clear" w:color="auto" w:fill="auto"/>
            <w:vAlign w:val="center"/>
            <w:hideMark/>
          </w:tcPr>
          <w:p w14:paraId="24FB3C70" w14:textId="77777777" w:rsidR="00785C68" w:rsidRPr="0010118A" w:rsidRDefault="00785C68" w:rsidP="00785C68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90 m²</w:t>
            </w:r>
          </w:p>
        </w:tc>
        <w:tc>
          <w:tcPr>
            <w:tcW w:w="1905" w:type="dxa"/>
            <w:shd w:val="clear" w:color="auto" w:fill="auto"/>
            <w:vAlign w:val="center"/>
            <w:hideMark/>
          </w:tcPr>
          <w:p w14:paraId="554A50A1" w14:textId="77777777" w:rsidR="00785C68" w:rsidRPr="0010118A" w:rsidRDefault="00785C68" w:rsidP="00785C68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$1.9 – $2.1 M</w:t>
            </w:r>
          </w:p>
        </w:tc>
        <w:tc>
          <w:tcPr>
            <w:tcW w:w="5135" w:type="dxa"/>
            <w:shd w:val="clear" w:color="auto" w:fill="auto"/>
            <w:vAlign w:val="center"/>
            <w:hideMark/>
          </w:tcPr>
          <w:p w14:paraId="1F041651" w14:textId="0FF15FC1" w:rsidR="00785C68" w:rsidRPr="0010118A" w:rsidRDefault="00785C68" w:rsidP="00785C68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Mantiene proporción de precios </w:t>
            </w:r>
            <w:r w:rsidR="00A31052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observados</w:t>
            </w: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, </w:t>
            </w:r>
            <w:r w:rsidR="00A31052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alineados</w:t>
            </w: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 al segmento </w:t>
            </w:r>
            <w:r w:rsidR="00A31052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con</w:t>
            </w: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 absorción </w:t>
            </w:r>
            <w:r w:rsidR="00A31052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registrada</w:t>
            </w: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.</w:t>
            </w:r>
          </w:p>
        </w:tc>
      </w:tr>
    </w:tbl>
    <w:p w14:paraId="474C5EF6" w14:textId="77777777" w:rsidR="0010118A" w:rsidRDefault="0010118A"/>
    <w:sectPr w:rsidR="001011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50B5"/>
    <w:multiLevelType w:val="multilevel"/>
    <w:tmpl w:val="F202D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0287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18A"/>
    <w:rsid w:val="000434A7"/>
    <w:rsid w:val="0010118A"/>
    <w:rsid w:val="0045301D"/>
    <w:rsid w:val="00755451"/>
    <w:rsid w:val="00785C68"/>
    <w:rsid w:val="0079362D"/>
    <w:rsid w:val="00894535"/>
    <w:rsid w:val="00A31052"/>
    <w:rsid w:val="00AF5A41"/>
    <w:rsid w:val="00E7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9244F"/>
  <w15:chartTrackingRefBased/>
  <w15:docId w15:val="{DFD6D144-AA88-430B-BE29-0FA88612F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011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1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118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118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118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118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118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118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118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011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11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118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118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118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118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118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118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118A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011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01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118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0118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01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0118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011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0118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11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118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0118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85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29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9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1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olaf gonzalez guzman</dc:creator>
  <cp:keywords/>
  <dc:description/>
  <cp:lastModifiedBy>julio olaf gonzalez guzman</cp:lastModifiedBy>
  <cp:revision>1</cp:revision>
  <dcterms:created xsi:type="dcterms:W3CDTF">2025-06-03T17:34:00Z</dcterms:created>
  <dcterms:modified xsi:type="dcterms:W3CDTF">2025-06-03T18:22:00Z</dcterms:modified>
</cp:coreProperties>
</file>