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F9F15" w14:textId="77777777" w:rsidR="00040C91" w:rsidRPr="00AB6178" w:rsidRDefault="0096673B" w:rsidP="00547F49">
      <w:pPr>
        <w:spacing w:after="0" w:line="240" w:lineRule="auto"/>
        <w:jc w:val="center"/>
        <w:rPr>
          <w:b/>
          <w:sz w:val="40"/>
          <w:szCs w:val="40"/>
        </w:rPr>
      </w:pPr>
      <w:r w:rsidRPr="00AB6178">
        <w:rPr>
          <w:b/>
          <w:sz w:val="40"/>
          <w:szCs w:val="40"/>
        </w:rPr>
        <w:t>Análisis de Fertilidad Inmobiliaria</w:t>
      </w:r>
    </w:p>
    <w:p w14:paraId="3D7690F1" w14:textId="77777777" w:rsidR="00EE30E8" w:rsidRPr="00AB6178" w:rsidRDefault="00EE30E8" w:rsidP="00547F49">
      <w:pPr>
        <w:spacing w:after="0" w:line="240" w:lineRule="auto"/>
        <w:jc w:val="center"/>
        <w:rPr>
          <w:b/>
          <w:sz w:val="40"/>
          <w:szCs w:val="40"/>
        </w:rPr>
      </w:pPr>
      <w:r w:rsidRPr="00AB6178">
        <w:rPr>
          <w:b/>
          <w:sz w:val="40"/>
          <w:szCs w:val="40"/>
        </w:rPr>
        <w:t>LOMA ESCONDIDA</w:t>
      </w:r>
    </w:p>
    <w:p w14:paraId="08A33CC1" w14:textId="77777777" w:rsidR="00457E9D" w:rsidRDefault="00457E9D" w:rsidP="0096673B">
      <w:pPr>
        <w:spacing w:after="0" w:line="240" w:lineRule="auto"/>
        <w:jc w:val="both"/>
        <w:rPr>
          <w:sz w:val="28"/>
          <w:szCs w:val="28"/>
        </w:rPr>
      </w:pPr>
    </w:p>
    <w:p w14:paraId="795E6B5C" w14:textId="77777777" w:rsidR="00F11454" w:rsidRPr="00AB6178" w:rsidRDefault="00F11454" w:rsidP="00F11454">
      <w:pPr>
        <w:spacing w:after="0" w:line="240" w:lineRule="auto"/>
        <w:jc w:val="both"/>
        <w:rPr>
          <w:sz w:val="24"/>
          <w:szCs w:val="24"/>
        </w:rPr>
      </w:pPr>
      <w:r w:rsidRPr="00AB6178">
        <w:rPr>
          <w:sz w:val="24"/>
          <w:szCs w:val="24"/>
        </w:rPr>
        <w:t xml:space="preserve">A partir del último levantamiento de datos a </w:t>
      </w:r>
      <w:r w:rsidRPr="00AB6178">
        <w:rPr>
          <w:b/>
          <w:sz w:val="24"/>
          <w:szCs w:val="24"/>
          <w:highlight w:val="yellow"/>
        </w:rPr>
        <w:t>Noviembre 2023</w:t>
      </w:r>
      <w:r w:rsidRPr="00AB6178">
        <w:rPr>
          <w:sz w:val="24"/>
          <w:szCs w:val="24"/>
        </w:rPr>
        <w:t xml:space="preserve">, se </w:t>
      </w:r>
      <w:r w:rsidR="001652CB" w:rsidRPr="00AB6178">
        <w:rPr>
          <w:sz w:val="24"/>
          <w:szCs w:val="24"/>
        </w:rPr>
        <w:t>estimó</w:t>
      </w:r>
      <w:r w:rsidRPr="00AB6178">
        <w:rPr>
          <w:sz w:val="24"/>
          <w:szCs w:val="24"/>
        </w:rPr>
        <w:t xml:space="preserve"> la Absorción Futura</w:t>
      </w:r>
      <w:r w:rsidR="00DB429F">
        <w:rPr>
          <w:sz w:val="24"/>
          <w:szCs w:val="24"/>
        </w:rPr>
        <w:t xml:space="preserve"> para el </w:t>
      </w:r>
      <w:r w:rsidR="00DB429F" w:rsidRPr="00DB429F">
        <w:rPr>
          <w:sz w:val="24"/>
          <w:szCs w:val="24"/>
          <w:highlight w:val="yellow"/>
        </w:rPr>
        <w:t>mercado actual</w:t>
      </w:r>
      <w:r w:rsidR="00DB429F">
        <w:rPr>
          <w:sz w:val="24"/>
          <w:szCs w:val="24"/>
        </w:rPr>
        <w:t xml:space="preserve"> y el comportamiento </w:t>
      </w:r>
      <w:r w:rsidR="00DB429F" w:rsidRPr="00DB429F">
        <w:rPr>
          <w:sz w:val="24"/>
          <w:szCs w:val="24"/>
          <w:highlight w:val="yellow"/>
        </w:rPr>
        <w:t>histórico</w:t>
      </w:r>
      <w:r w:rsidR="00DB429F">
        <w:rPr>
          <w:sz w:val="24"/>
          <w:szCs w:val="24"/>
        </w:rPr>
        <w:t xml:space="preserve"> del mercado</w:t>
      </w:r>
      <w:r w:rsidR="001652CB" w:rsidRPr="00AB6178">
        <w:rPr>
          <w:sz w:val="24"/>
          <w:szCs w:val="24"/>
        </w:rPr>
        <w:t>.</w:t>
      </w:r>
    </w:p>
    <w:p w14:paraId="3649B1EB" w14:textId="77777777" w:rsidR="00457E9D" w:rsidRPr="001652CB" w:rsidRDefault="00457E9D" w:rsidP="0096673B">
      <w:pPr>
        <w:spacing w:after="0" w:line="240" w:lineRule="auto"/>
        <w:jc w:val="both"/>
        <w:rPr>
          <w:sz w:val="28"/>
          <w:szCs w:val="28"/>
        </w:rPr>
      </w:pPr>
    </w:p>
    <w:p w14:paraId="443B43D6" w14:textId="77777777" w:rsidR="0062134C" w:rsidRPr="00AB6178" w:rsidRDefault="0062134C" w:rsidP="00D6776B">
      <w:pPr>
        <w:spacing w:after="0" w:line="240" w:lineRule="auto"/>
        <w:jc w:val="both"/>
        <w:rPr>
          <w:b/>
          <w:sz w:val="28"/>
          <w:szCs w:val="28"/>
        </w:rPr>
      </w:pPr>
      <w:r w:rsidRPr="00AB6178">
        <w:rPr>
          <w:b/>
          <w:sz w:val="28"/>
          <w:szCs w:val="28"/>
        </w:rPr>
        <w:t>Estimaciones</w:t>
      </w:r>
      <w:r w:rsidR="002231DA" w:rsidRPr="00AB6178">
        <w:rPr>
          <w:b/>
          <w:sz w:val="28"/>
          <w:szCs w:val="28"/>
        </w:rPr>
        <w:t xml:space="preserve"> (</w:t>
      </w:r>
      <w:r w:rsidR="002231DA" w:rsidRPr="00AB6178">
        <w:rPr>
          <w:b/>
          <w:sz w:val="28"/>
          <w:szCs w:val="28"/>
          <w:highlight w:val="yellow"/>
        </w:rPr>
        <w:t>Modelo más Vendido</w:t>
      </w:r>
      <w:r w:rsidR="002231DA" w:rsidRPr="00AB6178">
        <w:rPr>
          <w:b/>
          <w:sz w:val="28"/>
          <w:szCs w:val="28"/>
        </w:rPr>
        <w:t>)</w:t>
      </w:r>
      <w:r w:rsidRPr="00AB6178">
        <w:rPr>
          <w:b/>
          <w:sz w:val="28"/>
          <w:szCs w:val="28"/>
        </w:rPr>
        <w:t>:</w:t>
      </w:r>
    </w:p>
    <w:p w14:paraId="30A63CD0" w14:textId="77777777" w:rsidR="00606718" w:rsidRDefault="00606718" w:rsidP="00D6776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1985"/>
        <w:gridCol w:w="886"/>
        <w:gridCol w:w="1016"/>
        <w:gridCol w:w="1216"/>
        <w:gridCol w:w="993"/>
        <w:gridCol w:w="1248"/>
        <w:gridCol w:w="1135"/>
        <w:gridCol w:w="1302"/>
      </w:tblGrid>
      <w:tr w:rsidR="00627E44" w:rsidRPr="00627E44" w14:paraId="4FB0E526" w14:textId="77777777" w:rsidTr="00627E44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C9C2" w14:textId="77777777" w:rsidR="00627E44" w:rsidRPr="00627E44" w:rsidRDefault="00627E44" w:rsidP="0062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FB48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Desarrollo Vertical (2023)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BD0E7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D5EE" w14:textId="77777777" w:rsidR="00627E44" w:rsidRPr="00627E44" w:rsidRDefault="00627E44" w:rsidP="0062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27E44" w:rsidRPr="00627E44" w14:paraId="50FB6A52" w14:textId="77777777" w:rsidTr="00627E44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CCE7" w14:textId="77777777" w:rsidR="00627E44" w:rsidRPr="00627E44" w:rsidRDefault="00627E44" w:rsidP="00627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9E89B8D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Precio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BA43DB3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Modelos</w:t>
            </w:r>
            <w:proofErr w:type="spellEnd"/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DFCED2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% </w:t>
            </w: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Vendido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0E437A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mt2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53F7C75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Precio</w:t>
            </w:r>
            <w:proofErr w:type="spellEnd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/mt2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F9665E0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Absorción</w:t>
            </w:r>
            <w:proofErr w:type="spellEnd"/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27CF2642" w14:textId="77777777" w:rsidR="00627E44" w:rsidRPr="00627E44" w:rsidRDefault="00627E44" w:rsidP="00627E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Abs </w:t>
            </w:r>
            <w:proofErr w:type="spellStart"/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Correg</w:t>
            </w:r>
            <w:proofErr w:type="spellEnd"/>
          </w:p>
        </w:tc>
      </w:tr>
      <w:tr w:rsidR="00627E44" w:rsidRPr="00627E44" w14:paraId="274CEC34" w14:textId="77777777" w:rsidTr="00627E44">
        <w:trPr>
          <w:trHeight w:val="3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C68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Rivieri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BD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265259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340C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D76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EE2F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48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2411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420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1.8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AA29C" w14:textId="77777777" w:rsidR="00627E44" w:rsidRPr="00627E44" w:rsidRDefault="00627E44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2.</w:t>
            </w:r>
            <w:r w:rsidR="000B48DD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627E44" w:rsidRPr="00627E44" w14:paraId="3BF5D003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3CD7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Camino del Mar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E10E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285755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A94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44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D6C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D10E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3362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D43D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1.2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3ECF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1.6</w:t>
            </w:r>
          </w:p>
        </w:tc>
      </w:tr>
      <w:tr w:rsidR="00627E44" w:rsidRPr="00627E44" w14:paraId="76412FC7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E3AC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Porto Novo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C7F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660528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E6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AE7F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2637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217.6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CAEB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3036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896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5.5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F8A16" w14:textId="77777777" w:rsidR="00627E44" w:rsidRPr="00627E44" w:rsidRDefault="000B48DD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  <w:r w:rsidR="00627E44" w:rsidRPr="00627E44">
              <w:rPr>
                <w:rFonts w:ascii="Calibri" w:eastAsia="Times New Roman" w:hAnsi="Calibri" w:cs="Calibri"/>
                <w:color w:val="000000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627E44" w:rsidRPr="00627E44" w14:paraId="5ADF494B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191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Mistiq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6D4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380000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98B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30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4C6E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132.1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01FD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2877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FB4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3.4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9F816" w14:textId="77777777" w:rsidR="00627E44" w:rsidRPr="00627E44" w:rsidRDefault="000B48DD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3.8</w:t>
            </w:r>
          </w:p>
        </w:tc>
      </w:tr>
      <w:tr w:rsidR="00627E44" w:rsidRPr="00627E44" w14:paraId="7D1A326A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B244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 xml:space="preserve">Vista </w:t>
            </w: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Velas</w:t>
            </w:r>
            <w:proofErr w:type="spellEnd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A362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310000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C7C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340D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BE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139.3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F9AD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2225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541E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1.3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EB673" w14:textId="77777777" w:rsidR="00627E44" w:rsidRPr="00627E44" w:rsidRDefault="000B48DD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1.7</w:t>
            </w:r>
          </w:p>
        </w:tc>
      </w:tr>
      <w:tr w:rsidR="00627E44" w:rsidRPr="00627E44" w14:paraId="4F9259F5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823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Tramonti</w:t>
            </w:r>
            <w:proofErr w:type="spellEnd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Paradiso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BD5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455556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6A4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270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23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121.7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2EE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3743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D90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2.7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91A7" w14:textId="77777777" w:rsidR="00627E44" w:rsidRPr="00627E44" w:rsidRDefault="000B48DD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3.1</w:t>
            </w:r>
          </w:p>
        </w:tc>
      </w:tr>
      <w:tr w:rsidR="00627E44" w:rsidRPr="00627E44" w14:paraId="56131625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EE0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Lumaria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0D2B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489870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03A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5F6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9EBA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0FAC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2815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BF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4.6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DE47" w14:textId="77777777" w:rsidR="00627E44" w:rsidRPr="00627E44" w:rsidRDefault="000B48DD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4.9</w:t>
            </w:r>
          </w:p>
        </w:tc>
      </w:tr>
      <w:tr w:rsidR="00627E44" w:rsidRPr="00627E44" w14:paraId="2F892534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66CE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Cora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ACC0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689900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1945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258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DED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744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2211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818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5.5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549B3" w14:textId="77777777" w:rsidR="00627E44" w:rsidRPr="00627E44" w:rsidRDefault="000B48DD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627E44" w:rsidRPr="00627E44" w14:paraId="26A781BB" w14:textId="77777777" w:rsidTr="00627E44">
        <w:trPr>
          <w:trHeight w:val="30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192D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Colorado Hills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B2A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309750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B2AB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995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FC5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96.1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6CD2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3223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9E9E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1.1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0BD36" w14:textId="77777777" w:rsidR="00627E44" w:rsidRPr="00627E44" w:rsidRDefault="000B48DD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1.5</w:t>
            </w:r>
          </w:p>
        </w:tc>
      </w:tr>
      <w:tr w:rsidR="00627E44" w:rsidRPr="00627E44" w14:paraId="32BDDF33" w14:textId="77777777" w:rsidTr="00627E44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B6DB" w14:textId="77777777" w:rsidR="00627E44" w:rsidRPr="00627E44" w:rsidRDefault="00627E44" w:rsidP="00627E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Ladera</w:t>
            </w:r>
            <w:proofErr w:type="spellEnd"/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3D1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575333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44FA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F274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187F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7723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3326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39A0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color w:val="000000"/>
                <w:lang w:val="en-US"/>
              </w:rPr>
              <w:t>0.6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4AD02" w14:textId="77777777" w:rsidR="00627E44" w:rsidRPr="00627E44" w:rsidRDefault="000B48DD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0.8</w:t>
            </w:r>
          </w:p>
        </w:tc>
      </w:tr>
      <w:tr w:rsidR="00627E44" w:rsidRPr="00627E44" w14:paraId="32B4292D" w14:textId="77777777" w:rsidTr="00627E44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738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8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0C91F4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442195</w:t>
            </w:r>
          </w:p>
        </w:tc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4829D7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279DBAC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73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ED22A9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156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578AAF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2923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C701484" w14:textId="77777777" w:rsidR="00627E44" w:rsidRPr="00627E44" w:rsidRDefault="00627E44" w:rsidP="00627E4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2.8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72D00DF3" w14:textId="77777777" w:rsidR="00627E44" w:rsidRPr="00627E44" w:rsidRDefault="00627E44" w:rsidP="000B48D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627E44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3.</w:t>
            </w:r>
            <w:r w:rsidR="000B48DD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</w:t>
            </w:r>
          </w:p>
        </w:tc>
      </w:tr>
    </w:tbl>
    <w:p w14:paraId="449C6D9A" w14:textId="77777777" w:rsidR="00627E44" w:rsidRDefault="00627E44" w:rsidP="00D6776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780"/>
        <w:gridCol w:w="1074"/>
        <w:gridCol w:w="1016"/>
        <w:gridCol w:w="1233"/>
        <w:gridCol w:w="993"/>
        <w:gridCol w:w="1248"/>
        <w:gridCol w:w="1161"/>
        <w:gridCol w:w="1418"/>
      </w:tblGrid>
      <w:tr w:rsidR="00AB6178" w:rsidRPr="00AB6178" w14:paraId="41B4BDE7" w14:textId="77777777" w:rsidTr="00AB6178">
        <w:trPr>
          <w:trHeight w:val="39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8702" w14:textId="77777777" w:rsidR="00AB6178" w:rsidRPr="00AB6178" w:rsidRDefault="00AB6178" w:rsidP="00AB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3E4D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Desarrollo Horizontal (2023)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035D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D622" w14:textId="77777777" w:rsidR="00AB6178" w:rsidRPr="00AB6178" w:rsidRDefault="00AB6178" w:rsidP="00AB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B6178" w:rsidRPr="00AB6178" w14:paraId="01F5BB67" w14:textId="77777777" w:rsidTr="00AB6178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21F5" w14:textId="77777777" w:rsidR="00AB6178" w:rsidRPr="00AB6178" w:rsidRDefault="00AB6178" w:rsidP="00AB6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B18215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Precio</w:t>
            </w:r>
            <w:proofErr w:type="spellEnd"/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4D81D73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Modelos</w:t>
            </w:r>
            <w:proofErr w:type="spellEnd"/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1EE72A1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% </w:t>
            </w: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Vendido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3B090FC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mt2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7B6EF30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Precio</w:t>
            </w:r>
            <w:proofErr w:type="spellEnd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/mt2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002BD89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Absorción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noWrap/>
            <w:vAlign w:val="center"/>
            <w:hideMark/>
          </w:tcPr>
          <w:p w14:paraId="542DF3FB" w14:textId="77777777" w:rsidR="00AB6178" w:rsidRPr="00AB6178" w:rsidRDefault="00AB6178" w:rsidP="00AB61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Abs </w:t>
            </w:r>
            <w:proofErr w:type="spellStart"/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Correg</w:t>
            </w:r>
            <w:proofErr w:type="spellEnd"/>
          </w:p>
        </w:tc>
      </w:tr>
      <w:tr w:rsidR="00AB6178" w:rsidRPr="00AB6178" w14:paraId="43872863" w14:textId="77777777" w:rsidTr="00AB6178">
        <w:trPr>
          <w:trHeight w:val="30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2261" w14:textId="77777777" w:rsidR="00AB6178" w:rsidRPr="00AB6178" w:rsidRDefault="00AB6178" w:rsidP="00AB6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Rivieri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36B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473100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C19F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E1FB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1F45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181.5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5FAD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2607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3FE0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1278D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2.4</w:t>
            </w:r>
          </w:p>
        </w:tc>
      </w:tr>
      <w:tr w:rsidR="00AB6178" w:rsidRPr="00AB6178" w14:paraId="0B88844C" w14:textId="77777777" w:rsidTr="00AB6178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2CF1" w14:textId="77777777" w:rsidR="00AB6178" w:rsidRPr="00AB6178" w:rsidRDefault="00AB6178" w:rsidP="00AB6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 xml:space="preserve">Camino del Mar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DE43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339175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979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D539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C35F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0148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2713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04F7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56174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2.2</w:t>
            </w:r>
          </w:p>
        </w:tc>
      </w:tr>
      <w:tr w:rsidR="00AB6178" w:rsidRPr="00AB6178" w14:paraId="26A0BE2F" w14:textId="77777777" w:rsidTr="00AB6178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1355" w14:textId="77777777" w:rsidR="00AB6178" w:rsidRPr="00AB6178" w:rsidRDefault="00AB6178" w:rsidP="00AB6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Duara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4E70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555000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FF1F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1957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C03F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2015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2876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99EC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BD9D6" w14:textId="77777777" w:rsidR="00AB6178" w:rsidRPr="00AB6178" w:rsidRDefault="00CD7543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2.1</w:t>
            </w:r>
          </w:p>
        </w:tc>
      </w:tr>
      <w:tr w:rsidR="00AB6178" w:rsidRPr="00AB6178" w14:paraId="5FB9E651" w14:textId="77777777" w:rsidTr="00AB6178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9F0" w14:textId="77777777" w:rsidR="00AB6178" w:rsidRPr="00AB6178" w:rsidRDefault="00AB6178" w:rsidP="00AB6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Punta Mirante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865D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511000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018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6F67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B7D5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341.7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320E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1495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E75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82396" w14:textId="77777777" w:rsidR="00AB6178" w:rsidRPr="00AB6178" w:rsidRDefault="00CD7543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AB6178" w:rsidRPr="00AB6178" w14:paraId="1507827C" w14:textId="77777777" w:rsidTr="00AB6178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8D6F" w14:textId="77777777" w:rsidR="00AB6178" w:rsidRPr="00AB6178" w:rsidRDefault="00AB6178" w:rsidP="00AB61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Ladera</w:t>
            </w:r>
            <w:proofErr w:type="spellEnd"/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DDA0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950000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182C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09AD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CCF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B772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2575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7DBD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1.9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B6FAA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color w:val="000000"/>
                <w:lang w:val="en-US"/>
              </w:rPr>
              <w:t>2.4</w:t>
            </w:r>
          </w:p>
        </w:tc>
      </w:tr>
      <w:tr w:rsidR="00AB6178" w:rsidRPr="00AB6178" w14:paraId="2CE25F9B" w14:textId="77777777" w:rsidTr="00AB6178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8B96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68F0B4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565655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E702DA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6560C0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59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3D93D2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242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5CB29C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2453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583CE3E9" w14:textId="77777777" w:rsidR="00AB6178" w:rsidRPr="00AB6178" w:rsidRDefault="00AB6178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AB61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1.9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14:paraId="3300484C" w14:textId="77777777" w:rsidR="00AB6178" w:rsidRPr="00AB6178" w:rsidRDefault="00CD7543" w:rsidP="00AB61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2.2</w:t>
            </w:r>
          </w:p>
        </w:tc>
      </w:tr>
    </w:tbl>
    <w:p w14:paraId="037A888A" w14:textId="77777777" w:rsidR="00627E44" w:rsidRDefault="00627E44" w:rsidP="00D6776B">
      <w:pPr>
        <w:spacing w:after="0" w:line="240" w:lineRule="auto"/>
        <w:jc w:val="both"/>
        <w:rPr>
          <w:b/>
          <w:sz w:val="28"/>
          <w:szCs w:val="28"/>
        </w:rPr>
      </w:pPr>
    </w:p>
    <w:p w14:paraId="0ED4D7B3" w14:textId="77777777" w:rsidR="0042298E" w:rsidRDefault="001652CB" w:rsidP="00CD7543">
      <w:pPr>
        <w:spacing w:after="0" w:line="240" w:lineRule="auto"/>
        <w:jc w:val="both"/>
        <w:rPr>
          <w:sz w:val="24"/>
          <w:szCs w:val="24"/>
        </w:rPr>
      </w:pPr>
      <w:r w:rsidRPr="00245C42">
        <w:rPr>
          <w:b/>
          <w:sz w:val="24"/>
          <w:szCs w:val="24"/>
        </w:rPr>
        <w:t>N</w:t>
      </w:r>
      <w:r w:rsidR="0042298E" w:rsidRPr="00245C42">
        <w:rPr>
          <w:b/>
          <w:sz w:val="24"/>
          <w:szCs w:val="24"/>
        </w:rPr>
        <w:t xml:space="preserve">ota: </w:t>
      </w:r>
      <w:r w:rsidR="0042298E" w:rsidRPr="00245C42">
        <w:rPr>
          <w:sz w:val="24"/>
          <w:szCs w:val="24"/>
        </w:rPr>
        <w:t xml:space="preserve">la absorción corregida </w:t>
      </w:r>
      <w:r w:rsidR="00F11454" w:rsidRPr="00245C42">
        <w:rPr>
          <w:sz w:val="24"/>
          <w:szCs w:val="24"/>
        </w:rPr>
        <w:t>fue</w:t>
      </w:r>
      <w:r w:rsidR="0042298E" w:rsidRPr="00245C42">
        <w:rPr>
          <w:sz w:val="24"/>
          <w:szCs w:val="24"/>
        </w:rPr>
        <w:t xml:space="preserve"> estimada </w:t>
      </w:r>
      <w:r w:rsidR="00F11454" w:rsidRPr="00245C42">
        <w:rPr>
          <w:sz w:val="24"/>
          <w:szCs w:val="24"/>
        </w:rPr>
        <w:t>considerando la oferta disponible</w:t>
      </w:r>
      <w:r w:rsidR="00CD7543">
        <w:rPr>
          <w:sz w:val="24"/>
          <w:szCs w:val="24"/>
        </w:rPr>
        <w:t xml:space="preserve"> actualizada</w:t>
      </w:r>
      <w:r w:rsidR="00F11454" w:rsidRPr="00245C42">
        <w:rPr>
          <w:sz w:val="24"/>
          <w:szCs w:val="24"/>
        </w:rPr>
        <w:t xml:space="preserve">, </w:t>
      </w:r>
      <w:r w:rsidRPr="00245C42">
        <w:rPr>
          <w:sz w:val="24"/>
          <w:szCs w:val="24"/>
        </w:rPr>
        <w:t>esto con el propósito de</w:t>
      </w:r>
      <w:r w:rsidR="00F11454" w:rsidRPr="00245C42">
        <w:rPr>
          <w:sz w:val="24"/>
          <w:szCs w:val="24"/>
        </w:rPr>
        <w:t xml:space="preserve"> corregir la distorsión </w:t>
      </w:r>
      <w:r w:rsidRPr="00245C42">
        <w:rPr>
          <w:sz w:val="24"/>
          <w:szCs w:val="24"/>
        </w:rPr>
        <w:t xml:space="preserve">causada </w:t>
      </w:r>
      <w:r w:rsidR="00CD7543">
        <w:rPr>
          <w:sz w:val="24"/>
          <w:szCs w:val="24"/>
        </w:rPr>
        <w:t>por l</w:t>
      </w:r>
      <w:r w:rsidR="00627E44" w:rsidRPr="00245C42">
        <w:rPr>
          <w:sz w:val="24"/>
          <w:szCs w:val="24"/>
        </w:rPr>
        <w:t>a baja disponibilidad de unidades</w:t>
      </w:r>
      <w:r w:rsidR="00AB6178" w:rsidRPr="00245C42">
        <w:rPr>
          <w:sz w:val="24"/>
          <w:szCs w:val="24"/>
        </w:rPr>
        <w:t xml:space="preserve">, lo que impacta en </w:t>
      </w:r>
      <w:r w:rsidR="00CD7543">
        <w:rPr>
          <w:sz w:val="24"/>
          <w:szCs w:val="24"/>
        </w:rPr>
        <w:t>e</w:t>
      </w:r>
      <w:r w:rsidR="00AB6178" w:rsidRPr="00245C42">
        <w:rPr>
          <w:sz w:val="24"/>
          <w:szCs w:val="24"/>
        </w:rPr>
        <w:t>l margen de opci</w:t>
      </w:r>
      <w:r w:rsidR="00CD7543">
        <w:rPr>
          <w:sz w:val="24"/>
          <w:szCs w:val="24"/>
        </w:rPr>
        <w:t>ón</w:t>
      </w:r>
      <w:r w:rsidR="00AB6178" w:rsidRPr="00245C42">
        <w:rPr>
          <w:sz w:val="24"/>
          <w:szCs w:val="24"/>
        </w:rPr>
        <w:t xml:space="preserve"> que tiene el comparador para seleccionar </w:t>
      </w:r>
      <w:r w:rsidR="00CD7543">
        <w:rPr>
          <w:sz w:val="24"/>
          <w:szCs w:val="24"/>
        </w:rPr>
        <w:t>una vivienda de acuerdo a sus preferencias</w:t>
      </w:r>
      <w:r w:rsidR="00AB6178" w:rsidRPr="00245C42">
        <w:rPr>
          <w:sz w:val="24"/>
          <w:szCs w:val="24"/>
        </w:rPr>
        <w:t>.</w:t>
      </w:r>
    </w:p>
    <w:p w14:paraId="16639F09" w14:textId="77777777" w:rsidR="00CD7543" w:rsidRDefault="00CD7543" w:rsidP="00CD7543">
      <w:pPr>
        <w:spacing w:after="0" w:line="240" w:lineRule="auto"/>
        <w:jc w:val="both"/>
        <w:rPr>
          <w:sz w:val="24"/>
          <w:szCs w:val="24"/>
        </w:rPr>
      </w:pPr>
    </w:p>
    <w:p w14:paraId="06D8C7CF" w14:textId="77777777" w:rsidR="00CD7543" w:rsidRDefault="00CD7543" w:rsidP="00CD7543">
      <w:pPr>
        <w:spacing w:after="0" w:line="240" w:lineRule="auto"/>
        <w:jc w:val="both"/>
        <w:rPr>
          <w:sz w:val="24"/>
          <w:szCs w:val="24"/>
        </w:rPr>
      </w:pPr>
    </w:p>
    <w:p w14:paraId="4575F1C4" w14:textId="77777777" w:rsidR="00CD7543" w:rsidRDefault="00CD7543" w:rsidP="00CD7543">
      <w:pPr>
        <w:spacing w:after="0" w:line="240" w:lineRule="auto"/>
        <w:jc w:val="both"/>
        <w:rPr>
          <w:sz w:val="24"/>
          <w:szCs w:val="24"/>
        </w:rPr>
      </w:pPr>
    </w:p>
    <w:p w14:paraId="58C8D46D" w14:textId="77777777" w:rsidR="00CD7543" w:rsidRPr="00245C42" w:rsidRDefault="00CD7543" w:rsidP="00CD7543">
      <w:pPr>
        <w:spacing w:after="0" w:line="240" w:lineRule="auto"/>
        <w:jc w:val="both"/>
        <w:rPr>
          <w:b/>
          <w:sz w:val="24"/>
          <w:szCs w:val="24"/>
        </w:rPr>
      </w:pPr>
    </w:p>
    <w:p w14:paraId="2B8A4CD7" w14:textId="77777777" w:rsidR="0062134C" w:rsidRDefault="0062134C" w:rsidP="00D6776B">
      <w:pPr>
        <w:spacing w:after="0" w:line="240" w:lineRule="auto"/>
        <w:jc w:val="both"/>
        <w:rPr>
          <w:b/>
          <w:sz w:val="44"/>
          <w:szCs w:val="44"/>
        </w:rPr>
      </w:pPr>
      <w:r w:rsidRPr="00824FE0">
        <w:rPr>
          <w:b/>
          <w:sz w:val="44"/>
          <w:szCs w:val="44"/>
        </w:rPr>
        <w:lastRenderedPageBreak/>
        <w:t>Proyecciones</w:t>
      </w:r>
      <w:r w:rsidR="00622522">
        <w:rPr>
          <w:b/>
          <w:sz w:val="44"/>
          <w:szCs w:val="44"/>
        </w:rPr>
        <w:t xml:space="preserve"> de Acuerdo al Mercado Actual</w:t>
      </w:r>
      <w:r w:rsidRPr="00824FE0">
        <w:rPr>
          <w:b/>
          <w:sz w:val="44"/>
          <w:szCs w:val="44"/>
        </w:rPr>
        <w:t>:</w:t>
      </w:r>
    </w:p>
    <w:p w14:paraId="73B29584" w14:textId="77777777" w:rsidR="001652CB" w:rsidRDefault="001652CB" w:rsidP="00D6776B">
      <w:pPr>
        <w:spacing w:after="0" w:line="240" w:lineRule="auto"/>
        <w:jc w:val="both"/>
        <w:rPr>
          <w:b/>
          <w:sz w:val="28"/>
          <w:szCs w:val="28"/>
        </w:rPr>
      </w:pPr>
    </w:p>
    <w:p w14:paraId="251ED8C0" w14:textId="77777777" w:rsidR="001652CB" w:rsidRDefault="001652CB" w:rsidP="00D6776B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sz w:val="28"/>
          <w:szCs w:val="28"/>
        </w:rPr>
        <w:t>Para</w:t>
      </w:r>
      <w:r>
        <w:rPr>
          <w:sz w:val="28"/>
          <w:szCs w:val="28"/>
        </w:rPr>
        <w:t xml:space="preserve"> estimar la Absorción Futura, se construyó un modelo de regresión lineal a partir de los valores </w:t>
      </w:r>
      <w:r w:rsidR="00622522" w:rsidRPr="00622522">
        <w:rPr>
          <w:sz w:val="28"/>
          <w:szCs w:val="28"/>
          <w:highlight w:val="yellow"/>
        </w:rPr>
        <w:t>actuales</w:t>
      </w:r>
      <w:r>
        <w:rPr>
          <w:sz w:val="28"/>
          <w:szCs w:val="28"/>
        </w:rPr>
        <w:t xml:space="preserve"> de precio, tamaño y absorción para cada tipo de desarrollo, una vez calculado los coeficientes del modelo se proyectó la absorción para los valores promedios.</w:t>
      </w:r>
    </w:p>
    <w:p w14:paraId="2B6DF187" w14:textId="77777777" w:rsidR="001652CB" w:rsidRDefault="001652CB" w:rsidP="00D6776B">
      <w:pPr>
        <w:spacing w:after="0" w:line="240" w:lineRule="auto"/>
        <w:jc w:val="both"/>
        <w:rPr>
          <w:sz w:val="28"/>
          <w:szCs w:val="28"/>
        </w:rPr>
      </w:pPr>
    </w:p>
    <w:p w14:paraId="33D78F3A" w14:textId="77777777" w:rsidR="001652CB" w:rsidRPr="00052573" w:rsidRDefault="001652CB" w:rsidP="001652CB">
      <w:pPr>
        <w:spacing w:after="0" w:line="240" w:lineRule="auto"/>
        <w:jc w:val="both"/>
        <w:rPr>
          <w:b/>
          <w:sz w:val="32"/>
          <w:szCs w:val="32"/>
        </w:rPr>
      </w:pPr>
      <w:r w:rsidRPr="00052573">
        <w:rPr>
          <w:b/>
          <w:sz w:val="32"/>
          <w:szCs w:val="32"/>
        </w:rPr>
        <w:t>Vertical</w:t>
      </w:r>
    </w:p>
    <w:p w14:paraId="6F9E6CF9" w14:textId="77777777" w:rsidR="000B48DD" w:rsidRDefault="000B48DD" w:rsidP="000B48DD">
      <w:pPr>
        <w:tabs>
          <w:tab w:val="center" w:pos="40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Coeficientes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(a)</w:t>
      </w:r>
    </w:p>
    <w:p w14:paraId="2BC7828C" w14:textId="77777777" w:rsidR="000B48DD" w:rsidRDefault="000B48DD" w:rsidP="000B48DD">
      <w:pPr>
        <w:tabs>
          <w:tab w:val="center" w:pos="40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78"/>
        <w:gridCol w:w="1252"/>
        <w:gridCol w:w="1080"/>
        <w:gridCol w:w="1080"/>
        <w:gridCol w:w="1522"/>
        <w:gridCol w:w="911"/>
        <w:gridCol w:w="1080"/>
      </w:tblGrid>
      <w:tr w:rsidR="000B48DD" w14:paraId="55F2ADA6" w14:textId="77777777" w:rsidTr="000B48DD">
        <w:trPr>
          <w:trHeight w:val="504"/>
        </w:trPr>
        <w:tc>
          <w:tcPr>
            <w:tcW w:w="8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1FE7F287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Modelo</w:t>
            </w:r>
            <w:proofErr w:type="spellEnd"/>
          </w:p>
        </w:tc>
        <w:tc>
          <w:tcPr>
            <w:tcW w:w="125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204FEB54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503B787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Coeficientes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estandarizados</w:t>
            </w:r>
            <w:proofErr w:type="spellEnd"/>
          </w:p>
        </w:tc>
        <w:tc>
          <w:tcPr>
            <w:tcW w:w="15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AA490DB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Coeficientes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estandarizados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6560118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6C74BFE5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0B48DD" w14:paraId="70675322" w14:textId="77777777" w:rsidTr="000B48DD">
        <w:trPr>
          <w:trHeight w:val="504"/>
        </w:trPr>
        <w:tc>
          <w:tcPr>
            <w:tcW w:w="8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59FCA414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C2F66E3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18AE137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57EED126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Error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típ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FDA744B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9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AAC6B1C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439619C4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Error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típ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0B48DD" w14:paraId="31D1FC1C" w14:textId="77777777" w:rsidTr="000B48DD">
        <w:trPr>
          <w:trHeight w:val="273"/>
        </w:trPr>
        <w:tc>
          <w:tcPr>
            <w:tcW w:w="8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6ED44E0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1778133A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4866757" w14:textId="77777777" w:rsidR="000B48DD" w:rsidRDefault="000B48DD" w:rsidP="00CD75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  <w:r w:rsidR="00CD754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3377B8D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1.436</w:t>
            </w:r>
          </w:p>
        </w:tc>
        <w:tc>
          <w:tcPr>
            <w:tcW w:w="152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628BAF4E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3D1306F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-.229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2B3BD7C9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.825</w:t>
            </w:r>
          </w:p>
        </w:tc>
      </w:tr>
      <w:tr w:rsidR="000B48DD" w14:paraId="645E53F2" w14:textId="77777777" w:rsidTr="000B48DD">
        <w:trPr>
          <w:trHeight w:val="273"/>
        </w:trPr>
        <w:tc>
          <w:tcPr>
            <w:tcW w:w="87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5FC17997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1C627145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Precio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07A02EA0" w14:textId="77777777" w:rsidR="000B48DD" w:rsidRDefault="00CD754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  <w:r w:rsidR="000B48D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1.55E-006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7295956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52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8550E55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.128</w:t>
            </w:r>
          </w:p>
        </w:tc>
        <w:tc>
          <w:tcPr>
            <w:tcW w:w="9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213C7C4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.234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7BE391D3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.822</w:t>
            </w:r>
          </w:p>
        </w:tc>
      </w:tr>
      <w:tr w:rsidR="000B48DD" w14:paraId="13BCE03F" w14:textId="77777777" w:rsidTr="000B48DD">
        <w:trPr>
          <w:trHeight w:val="273"/>
        </w:trPr>
        <w:tc>
          <w:tcPr>
            <w:tcW w:w="8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11C75457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6FB56E3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Tamaño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410EAC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DC858C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.015</w:t>
            </w:r>
          </w:p>
        </w:tc>
        <w:tc>
          <w:tcPr>
            <w:tcW w:w="152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3FC1404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.632</w:t>
            </w:r>
          </w:p>
        </w:tc>
        <w:tc>
          <w:tcPr>
            <w:tcW w:w="91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898B439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1.158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5546AF38" w14:textId="77777777" w:rsidR="000B48DD" w:rsidRDefault="000B48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.285</w:t>
            </w:r>
          </w:p>
        </w:tc>
      </w:tr>
    </w:tbl>
    <w:p w14:paraId="4FF38FC0" w14:textId="77777777" w:rsidR="000B48DD" w:rsidRDefault="000B48DD" w:rsidP="000B4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val="en-US"/>
        </w:rPr>
        <w:t>a  Variable</w:t>
      </w:r>
      <w:proofErr w:type="gram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dependiente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Absorcion</w:t>
      </w:r>
      <w:proofErr w:type="spellEnd"/>
    </w:p>
    <w:p w14:paraId="4DDEA1CD" w14:textId="77777777" w:rsidR="000B48DD" w:rsidRDefault="000B48DD" w:rsidP="000B4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0F20246" w14:textId="77777777" w:rsidR="001652CB" w:rsidRDefault="001652CB" w:rsidP="00D6776B">
      <w:pPr>
        <w:spacing w:after="0" w:line="240" w:lineRule="auto"/>
        <w:jc w:val="both"/>
        <w:rPr>
          <w:sz w:val="28"/>
          <w:szCs w:val="28"/>
        </w:rPr>
      </w:pPr>
    </w:p>
    <w:p w14:paraId="0F4E183E" w14:textId="77777777" w:rsidR="00627E44" w:rsidRDefault="00627E44" w:rsidP="00D6776B">
      <w:pPr>
        <w:spacing w:after="0" w:line="240" w:lineRule="auto"/>
        <w:jc w:val="both"/>
        <w:rPr>
          <w:sz w:val="28"/>
          <w:szCs w:val="28"/>
        </w:rPr>
      </w:pPr>
    </w:p>
    <w:p w14:paraId="4204A9B6" w14:textId="77777777" w:rsidR="001652CB" w:rsidRPr="001652CB" w:rsidRDefault="001652CB" w:rsidP="001652CB">
      <w:pPr>
        <w:spacing w:after="0" w:line="240" w:lineRule="auto"/>
        <w:jc w:val="both"/>
        <w:rPr>
          <w:b/>
          <w:sz w:val="28"/>
          <w:szCs w:val="28"/>
        </w:rPr>
      </w:pPr>
      <w:r w:rsidRPr="001652CB">
        <w:rPr>
          <w:b/>
          <w:sz w:val="28"/>
          <w:szCs w:val="28"/>
        </w:rPr>
        <w:t>Coeficientes</w:t>
      </w:r>
      <w:r w:rsidRPr="001652CB">
        <w:rPr>
          <w:b/>
          <w:sz w:val="28"/>
          <w:szCs w:val="28"/>
        </w:rPr>
        <w:tab/>
      </w:r>
      <w:r w:rsidRPr="001652CB">
        <w:rPr>
          <w:b/>
          <w:sz w:val="28"/>
          <w:szCs w:val="28"/>
        </w:rPr>
        <w:tab/>
      </w:r>
    </w:p>
    <w:p w14:paraId="47EF84E2" w14:textId="77777777" w:rsidR="001652CB" w:rsidRPr="001652CB" w:rsidRDefault="001652CB" w:rsidP="001652CB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sz w:val="28"/>
          <w:szCs w:val="28"/>
        </w:rPr>
        <w:t>β</w:t>
      </w:r>
      <w:r w:rsidRPr="001652CB">
        <w:rPr>
          <w:sz w:val="28"/>
          <w:szCs w:val="28"/>
          <w:vertAlign w:val="subscript"/>
        </w:rPr>
        <w:t xml:space="preserve">0 </w:t>
      </w:r>
      <w:r w:rsidR="00AB6178">
        <w:rPr>
          <w:sz w:val="28"/>
          <w:szCs w:val="28"/>
        </w:rPr>
        <w:t xml:space="preserve">= </w:t>
      </w:r>
      <w:r w:rsidR="00CD7543">
        <w:rPr>
          <w:sz w:val="28"/>
          <w:szCs w:val="28"/>
        </w:rPr>
        <w:t>0</w:t>
      </w:r>
      <w:r w:rsidRPr="001652CB">
        <w:rPr>
          <w:sz w:val="28"/>
          <w:szCs w:val="28"/>
        </w:rPr>
        <w:t>.</w:t>
      </w:r>
      <w:r w:rsidR="00CD7543">
        <w:rPr>
          <w:sz w:val="28"/>
          <w:szCs w:val="28"/>
        </w:rPr>
        <w:t>729</w:t>
      </w:r>
      <w:r w:rsidRPr="001652CB">
        <w:rPr>
          <w:sz w:val="28"/>
          <w:szCs w:val="28"/>
        </w:rPr>
        <w:t xml:space="preserve">       β</w:t>
      </w:r>
      <w:r w:rsidRPr="001652CB">
        <w:rPr>
          <w:sz w:val="28"/>
          <w:szCs w:val="28"/>
          <w:vertAlign w:val="subscript"/>
        </w:rPr>
        <w:t xml:space="preserve">1 </w:t>
      </w:r>
      <w:r w:rsidRPr="001652CB">
        <w:rPr>
          <w:sz w:val="28"/>
          <w:szCs w:val="28"/>
        </w:rPr>
        <w:t xml:space="preserve">= </w:t>
      </w:r>
      <w:r>
        <w:rPr>
          <w:sz w:val="28"/>
          <w:szCs w:val="28"/>
        </w:rPr>
        <w:t>-0.00000</w:t>
      </w:r>
      <w:r w:rsidRPr="001652CB">
        <w:rPr>
          <w:sz w:val="28"/>
          <w:szCs w:val="28"/>
        </w:rPr>
        <w:t>1</w:t>
      </w:r>
      <w:r w:rsidR="00CD7543">
        <w:rPr>
          <w:sz w:val="28"/>
          <w:szCs w:val="28"/>
        </w:rPr>
        <w:t>55</w:t>
      </w:r>
      <w:r w:rsidRPr="001652CB">
        <w:rPr>
          <w:sz w:val="28"/>
          <w:szCs w:val="28"/>
        </w:rPr>
        <w:t xml:space="preserve">      β</w:t>
      </w:r>
      <w:r w:rsidRPr="001652CB">
        <w:rPr>
          <w:sz w:val="28"/>
          <w:szCs w:val="28"/>
          <w:vertAlign w:val="subscript"/>
        </w:rPr>
        <w:t xml:space="preserve">2 </w:t>
      </w:r>
      <w:r w:rsidRPr="001652CB">
        <w:rPr>
          <w:sz w:val="28"/>
          <w:szCs w:val="28"/>
        </w:rPr>
        <w:t>= 0.0</w:t>
      </w:r>
      <w:r w:rsidR="00AB6178">
        <w:rPr>
          <w:sz w:val="28"/>
          <w:szCs w:val="28"/>
        </w:rPr>
        <w:t>18</w:t>
      </w:r>
      <w:r w:rsidRPr="001652CB">
        <w:rPr>
          <w:sz w:val="28"/>
          <w:szCs w:val="28"/>
        </w:rPr>
        <w:t xml:space="preserve">     </w:t>
      </w:r>
      <w:r w:rsidRPr="001652CB">
        <w:rPr>
          <w:sz w:val="28"/>
          <w:szCs w:val="28"/>
        </w:rPr>
        <w:tab/>
        <w:t xml:space="preserve">             </w:t>
      </w:r>
      <w:r w:rsidRPr="001652CB">
        <w:rPr>
          <w:sz w:val="28"/>
          <w:szCs w:val="28"/>
        </w:rPr>
        <w:tab/>
      </w:r>
    </w:p>
    <w:p w14:paraId="4AC99CCE" w14:textId="77777777" w:rsidR="001652CB" w:rsidRPr="001652CB" w:rsidRDefault="001652CB" w:rsidP="001652CB">
      <w:pPr>
        <w:spacing w:after="0" w:line="240" w:lineRule="auto"/>
        <w:jc w:val="both"/>
        <w:rPr>
          <w:sz w:val="28"/>
          <w:szCs w:val="28"/>
        </w:rPr>
      </w:pPr>
    </w:p>
    <w:p w14:paraId="33916859" w14:textId="77777777" w:rsidR="001652CB" w:rsidRPr="001652CB" w:rsidRDefault="001652CB" w:rsidP="001652CB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sz w:val="28"/>
          <w:szCs w:val="28"/>
        </w:rPr>
        <w:t>Para los valores estimados de X</w:t>
      </w:r>
      <w:r w:rsidRPr="001652CB">
        <w:rPr>
          <w:sz w:val="28"/>
          <w:szCs w:val="28"/>
          <w:vertAlign w:val="subscript"/>
        </w:rPr>
        <w:t>1</w:t>
      </w:r>
      <w:r w:rsidRPr="001652CB">
        <w:rPr>
          <w:sz w:val="28"/>
          <w:szCs w:val="28"/>
        </w:rPr>
        <w:t xml:space="preserve">(Precio) = </w:t>
      </w:r>
      <w:r w:rsidR="00AB6178" w:rsidRPr="00AB6178">
        <w:rPr>
          <w:b/>
          <w:sz w:val="28"/>
          <w:szCs w:val="28"/>
        </w:rPr>
        <w:t>442</w:t>
      </w:r>
      <w:r w:rsidR="00AB6178">
        <w:rPr>
          <w:b/>
          <w:sz w:val="28"/>
          <w:szCs w:val="28"/>
        </w:rPr>
        <w:t>,</w:t>
      </w:r>
      <w:r w:rsidR="00AB6178" w:rsidRPr="00AB6178">
        <w:rPr>
          <w:b/>
          <w:sz w:val="28"/>
          <w:szCs w:val="28"/>
        </w:rPr>
        <w:t>195</w:t>
      </w:r>
      <w:r w:rsidRPr="001652CB">
        <w:rPr>
          <w:b/>
          <w:sz w:val="28"/>
          <w:szCs w:val="28"/>
        </w:rPr>
        <w:t xml:space="preserve"> </w:t>
      </w:r>
      <w:r w:rsidRPr="001652CB">
        <w:rPr>
          <w:sz w:val="28"/>
          <w:szCs w:val="28"/>
        </w:rPr>
        <w:t>y X</w:t>
      </w:r>
      <w:r w:rsidRPr="001652CB">
        <w:rPr>
          <w:sz w:val="28"/>
          <w:szCs w:val="28"/>
          <w:vertAlign w:val="subscript"/>
        </w:rPr>
        <w:t>2</w:t>
      </w:r>
      <w:r w:rsidRPr="001652CB">
        <w:rPr>
          <w:sz w:val="28"/>
          <w:szCs w:val="28"/>
        </w:rPr>
        <w:t>(</w:t>
      </w:r>
      <w:r>
        <w:rPr>
          <w:sz w:val="28"/>
          <w:szCs w:val="28"/>
        </w:rPr>
        <w:t>Tamañ</w:t>
      </w:r>
      <w:r w:rsidR="00333780">
        <w:rPr>
          <w:sz w:val="28"/>
          <w:szCs w:val="28"/>
        </w:rPr>
        <w:t>o</w:t>
      </w:r>
      <w:r w:rsidRPr="001652CB">
        <w:rPr>
          <w:sz w:val="28"/>
          <w:szCs w:val="28"/>
        </w:rPr>
        <w:t xml:space="preserve">) = </w:t>
      </w:r>
      <w:r w:rsidRPr="001652CB">
        <w:rPr>
          <w:b/>
          <w:sz w:val="28"/>
          <w:szCs w:val="28"/>
        </w:rPr>
        <w:t>1</w:t>
      </w:r>
      <w:r w:rsidR="00AB6178">
        <w:rPr>
          <w:b/>
          <w:sz w:val="28"/>
          <w:szCs w:val="28"/>
        </w:rPr>
        <w:t>56</w:t>
      </w:r>
      <w:r w:rsidRPr="001652CB">
        <w:rPr>
          <w:sz w:val="28"/>
          <w:szCs w:val="28"/>
        </w:rPr>
        <w:t>, la predicción del modelo fue:</w:t>
      </w:r>
    </w:p>
    <w:p w14:paraId="6C5CEC2E" w14:textId="77777777" w:rsidR="001652CB" w:rsidRPr="001652CB" w:rsidRDefault="001652CB" w:rsidP="001652CB">
      <w:pPr>
        <w:spacing w:after="0" w:line="240" w:lineRule="auto"/>
        <w:jc w:val="both"/>
        <w:rPr>
          <w:sz w:val="28"/>
          <w:szCs w:val="28"/>
        </w:rPr>
      </w:pPr>
    </w:p>
    <w:p w14:paraId="43DD9659" w14:textId="77777777" w:rsidR="001652CB" w:rsidRPr="001652CB" w:rsidRDefault="001652CB" w:rsidP="001652CB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b/>
          <w:sz w:val="28"/>
          <w:szCs w:val="28"/>
        </w:rPr>
        <w:t>Absorción</w:t>
      </w:r>
      <w:r w:rsidRPr="001652CB">
        <w:rPr>
          <w:sz w:val="28"/>
          <w:szCs w:val="28"/>
        </w:rPr>
        <w:t xml:space="preserve"> </w:t>
      </w:r>
      <w:r w:rsidRPr="001652CB">
        <w:rPr>
          <w:b/>
          <w:sz w:val="28"/>
          <w:szCs w:val="28"/>
        </w:rPr>
        <w:t xml:space="preserve">Estimada </w:t>
      </w:r>
      <w:r w:rsidRPr="001652CB">
        <w:rPr>
          <w:sz w:val="28"/>
          <w:szCs w:val="28"/>
        </w:rPr>
        <w:t xml:space="preserve">= </w:t>
      </w:r>
      <w:r w:rsidR="00CD7543">
        <w:rPr>
          <w:sz w:val="28"/>
          <w:szCs w:val="28"/>
        </w:rPr>
        <w:t>0</w:t>
      </w:r>
      <w:r w:rsidRPr="001652CB">
        <w:rPr>
          <w:sz w:val="28"/>
          <w:szCs w:val="28"/>
        </w:rPr>
        <w:t>.</w:t>
      </w:r>
      <w:r w:rsidR="00CD7543">
        <w:rPr>
          <w:sz w:val="28"/>
          <w:szCs w:val="28"/>
        </w:rPr>
        <w:t>729</w:t>
      </w:r>
      <w:r w:rsidRPr="001652CB">
        <w:rPr>
          <w:sz w:val="28"/>
          <w:szCs w:val="28"/>
        </w:rPr>
        <w:t xml:space="preserve"> + (</w:t>
      </w:r>
      <w:r>
        <w:rPr>
          <w:sz w:val="28"/>
          <w:szCs w:val="28"/>
        </w:rPr>
        <w:t>-</w:t>
      </w:r>
      <w:r w:rsidRPr="001652CB">
        <w:rPr>
          <w:sz w:val="28"/>
          <w:szCs w:val="28"/>
        </w:rPr>
        <w:t>0.0</w:t>
      </w:r>
      <w:r>
        <w:rPr>
          <w:sz w:val="28"/>
          <w:szCs w:val="28"/>
        </w:rPr>
        <w:t>00001</w:t>
      </w:r>
      <w:r w:rsidR="00CD7543">
        <w:rPr>
          <w:sz w:val="28"/>
          <w:szCs w:val="28"/>
        </w:rPr>
        <w:t>55</w:t>
      </w:r>
      <w:r w:rsidRPr="001652CB">
        <w:rPr>
          <w:sz w:val="28"/>
          <w:szCs w:val="28"/>
        </w:rPr>
        <w:t>*</w:t>
      </w:r>
      <w:r>
        <w:rPr>
          <w:sz w:val="28"/>
          <w:szCs w:val="28"/>
        </w:rPr>
        <w:t>44</w:t>
      </w:r>
      <w:r w:rsidR="00AB6178">
        <w:rPr>
          <w:sz w:val="28"/>
          <w:szCs w:val="28"/>
        </w:rPr>
        <w:t>2</w:t>
      </w:r>
      <w:r w:rsidRPr="001652CB">
        <w:rPr>
          <w:sz w:val="28"/>
          <w:szCs w:val="28"/>
        </w:rPr>
        <w:t>,</w:t>
      </w:r>
      <w:r w:rsidR="00AB6178">
        <w:rPr>
          <w:sz w:val="28"/>
          <w:szCs w:val="28"/>
        </w:rPr>
        <w:t>195</w:t>
      </w:r>
      <w:r w:rsidRPr="001652CB">
        <w:rPr>
          <w:sz w:val="28"/>
          <w:szCs w:val="28"/>
        </w:rPr>
        <w:t>) + (0.0</w:t>
      </w:r>
      <w:r w:rsidR="00AB6178">
        <w:rPr>
          <w:sz w:val="28"/>
          <w:szCs w:val="28"/>
        </w:rPr>
        <w:t>18</w:t>
      </w:r>
      <w:r w:rsidRPr="001652CB">
        <w:rPr>
          <w:sz w:val="28"/>
          <w:szCs w:val="28"/>
        </w:rPr>
        <w:t>*1</w:t>
      </w:r>
      <w:r w:rsidR="00AB6178">
        <w:rPr>
          <w:sz w:val="28"/>
          <w:szCs w:val="28"/>
        </w:rPr>
        <w:t>56</w:t>
      </w:r>
      <w:r w:rsidRPr="001652CB">
        <w:rPr>
          <w:sz w:val="28"/>
          <w:szCs w:val="28"/>
        </w:rPr>
        <w:t>)</w:t>
      </w:r>
    </w:p>
    <w:p w14:paraId="26DDB511" w14:textId="77777777" w:rsidR="001652CB" w:rsidRDefault="001652CB" w:rsidP="001652CB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b/>
          <w:sz w:val="28"/>
          <w:szCs w:val="28"/>
        </w:rPr>
        <w:t>Absorción</w:t>
      </w:r>
      <w:r w:rsidRPr="001652CB">
        <w:rPr>
          <w:sz w:val="28"/>
          <w:szCs w:val="28"/>
        </w:rPr>
        <w:t xml:space="preserve"> </w:t>
      </w:r>
      <w:r w:rsidRPr="001652CB">
        <w:rPr>
          <w:b/>
          <w:sz w:val="28"/>
          <w:szCs w:val="28"/>
        </w:rPr>
        <w:t xml:space="preserve">Estimada </w:t>
      </w:r>
      <w:r w:rsidRPr="001652CB">
        <w:rPr>
          <w:sz w:val="28"/>
          <w:szCs w:val="28"/>
        </w:rPr>
        <w:t xml:space="preserve">= </w:t>
      </w:r>
      <w:r w:rsidR="00CD7543">
        <w:rPr>
          <w:b/>
          <w:sz w:val="28"/>
          <w:szCs w:val="28"/>
          <w:highlight w:val="yellow"/>
        </w:rPr>
        <w:t>2</w:t>
      </w:r>
      <w:r w:rsidRPr="00CD7543">
        <w:rPr>
          <w:b/>
          <w:sz w:val="28"/>
          <w:szCs w:val="28"/>
          <w:highlight w:val="yellow"/>
        </w:rPr>
        <w:t>.</w:t>
      </w:r>
      <w:r w:rsidR="00CD7543" w:rsidRPr="00CD7543">
        <w:rPr>
          <w:b/>
          <w:sz w:val="28"/>
          <w:szCs w:val="28"/>
          <w:highlight w:val="yellow"/>
        </w:rPr>
        <w:t>85</w:t>
      </w:r>
    </w:p>
    <w:p w14:paraId="227813C3" w14:textId="77777777" w:rsidR="00245C42" w:rsidRPr="001652CB" w:rsidRDefault="00245C42" w:rsidP="001652CB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5720" w:type="dxa"/>
        <w:tblLook w:val="04A0" w:firstRow="1" w:lastRow="0" w:firstColumn="1" w:lastColumn="0" w:noHBand="0" w:noVBand="1"/>
      </w:tblPr>
      <w:tblGrid>
        <w:gridCol w:w="1780"/>
        <w:gridCol w:w="1200"/>
        <w:gridCol w:w="1360"/>
        <w:gridCol w:w="1380"/>
      </w:tblGrid>
      <w:tr w:rsidR="00245C42" w:rsidRPr="00245C42" w14:paraId="5D4DD8C0" w14:textId="77777777" w:rsidTr="00245C42">
        <w:trPr>
          <w:trHeight w:val="76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D75C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644D51E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Límite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inferior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9B09A91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Estimada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7268F22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Limite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Superior</w:t>
            </w:r>
          </w:p>
        </w:tc>
      </w:tr>
      <w:tr w:rsidR="00245C42" w:rsidRPr="00245C42" w14:paraId="38C7BCE6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12FF2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Tamaño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90380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FBE7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77B73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176</w:t>
            </w:r>
          </w:p>
        </w:tc>
      </w:tr>
      <w:tr w:rsidR="00245C42" w:rsidRPr="00245C42" w14:paraId="42F017EA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6A064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3F831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434836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53DCE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442195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BEAE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499238</w:t>
            </w:r>
          </w:p>
        </w:tc>
      </w:tr>
      <w:tr w:rsidR="00245C42" w:rsidRPr="00245C42" w14:paraId="305C1A03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24BC5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mt2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17D4A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2874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0469D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2923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1E0DC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3300</w:t>
            </w:r>
          </w:p>
        </w:tc>
      </w:tr>
      <w:tr w:rsidR="00245C42" w:rsidRPr="00245C42" w14:paraId="062A6132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EA082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Absorción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4076A4" w14:textId="77777777" w:rsidR="00245C42" w:rsidRPr="00245C42" w:rsidRDefault="00CD7543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1143C21" w14:textId="77777777" w:rsidR="00245C42" w:rsidRPr="00245C42" w:rsidRDefault="00CD7543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</w:t>
            </w:r>
            <w:r w:rsidR="00245C42"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8</w:t>
            </w:r>
            <w:r w:rsidR="00245C42"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053B3EC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3</w:t>
            </w:r>
            <w:r w:rsidR="00CD7543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.1</w:t>
            </w:r>
          </w:p>
        </w:tc>
      </w:tr>
    </w:tbl>
    <w:p w14:paraId="22DF6354" w14:textId="77777777" w:rsidR="00824FE0" w:rsidRDefault="00824FE0" w:rsidP="00D6776B">
      <w:pPr>
        <w:spacing w:after="0" w:line="240" w:lineRule="auto"/>
        <w:jc w:val="both"/>
        <w:rPr>
          <w:sz w:val="28"/>
          <w:szCs w:val="28"/>
        </w:rPr>
      </w:pPr>
    </w:p>
    <w:p w14:paraId="6EF24EC7" w14:textId="77777777" w:rsidR="00052573" w:rsidRDefault="00052573" w:rsidP="00606718">
      <w:pPr>
        <w:spacing w:after="0" w:line="240" w:lineRule="auto"/>
        <w:jc w:val="both"/>
        <w:rPr>
          <w:b/>
          <w:sz w:val="28"/>
          <w:szCs w:val="28"/>
        </w:rPr>
      </w:pPr>
    </w:p>
    <w:p w14:paraId="60C50A26" w14:textId="77777777" w:rsidR="00606718" w:rsidRPr="00052573" w:rsidRDefault="00606718" w:rsidP="00606718">
      <w:pPr>
        <w:spacing w:after="0" w:line="240" w:lineRule="auto"/>
        <w:jc w:val="both"/>
        <w:rPr>
          <w:b/>
          <w:sz w:val="32"/>
          <w:szCs w:val="32"/>
        </w:rPr>
      </w:pPr>
      <w:r w:rsidRPr="00052573">
        <w:rPr>
          <w:b/>
          <w:sz w:val="32"/>
          <w:szCs w:val="32"/>
        </w:rPr>
        <w:lastRenderedPageBreak/>
        <w:t>Horizontal</w:t>
      </w:r>
    </w:p>
    <w:p w14:paraId="02233657" w14:textId="77777777" w:rsidR="00333780" w:rsidRDefault="00333780" w:rsidP="00606718">
      <w:pPr>
        <w:spacing w:after="0" w:line="240" w:lineRule="auto"/>
        <w:jc w:val="both"/>
        <w:rPr>
          <w:b/>
          <w:sz w:val="28"/>
          <w:szCs w:val="28"/>
        </w:rPr>
      </w:pPr>
    </w:p>
    <w:p w14:paraId="1BE8559D" w14:textId="77777777" w:rsidR="000B2F39" w:rsidRDefault="00333780" w:rsidP="000B2F39">
      <w:pPr>
        <w:tabs>
          <w:tab w:val="center" w:pos="40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r w:rsidR="000B2F3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ab/>
      </w:r>
      <w:proofErr w:type="spellStart"/>
      <w:r w:rsidR="000B2F3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Coeficientes</w:t>
      </w:r>
      <w:proofErr w:type="spellEnd"/>
      <w:r w:rsidR="000B2F39">
        <w:rPr>
          <w:rFonts w:ascii="Arial" w:hAnsi="Arial" w:cs="Arial"/>
          <w:b/>
          <w:bCs/>
          <w:color w:val="000000"/>
          <w:sz w:val="18"/>
          <w:szCs w:val="18"/>
          <w:lang w:val="en-US"/>
        </w:rPr>
        <w:t>(a)</w:t>
      </w:r>
    </w:p>
    <w:p w14:paraId="3B292FBF" w14:textId="77777777" w:rsidR="000B2F39" w:rsidRDefault="000B2F39" w:rsidP="000B2F39">
      <w:pPr>
        <w:tabs>
          <w:tab w:val="center" w:pos="40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en-US"/>
        </w:rPr>
      </w:pPr>
    </w:p>
    <w:tbl>
      <w:tblPr>
        <w:tblW w:w="0" w:type="auto"/>
        <w:tblInd w:w="-15" w:type="dxa"/>
        <w:tblLayout w:type="fixed"/>
        <w:tblCellMar>
          <w:left w:w="93" w:type="dxa"/>
          <w:right w:w="93" w:type="dxa"/>
        </w:tblCellMar>
        <w:tblLook w:val="0000" w:firstRow="0" w:lastRow="0" w:firstColumn="0" w:lastColumn="0" w:noHBand="0" w:noVBand="0"/>
      </w:tblPr>
      <w:tblGrid>
        <w:gridCol w:w="878"/>
        <w:gridCol w:w="1252"/>
        <w:gridCol w:w="1080"/>
        <w:gridCol w:w="1080"/>
        <w:gridCol w:w="1664"/>
        <w:gridCol w:w="769"/>
        <w:gridCol w:w="1080"/>
      </w:tblGrid>
      <w:tr w:rsidR="000B2F39" w14:paraId="64B7ACCE" w14:textId="77777777" w:rsidTr="000B2F39">
        <w:trPr>
          <w:trHeight w:val="504"/>
        </w:trPr>
        <w:tc>
          <w:tcPr>
            <w:tcW w:w="87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36197659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Modelo</w:t>
            </w:r>
            <w:proofErr w:type="spellEnd"/>
          </w:p>
        </w:tc>
        <w:tc>
          <w:tcPr>
            <w:tcW w:w="125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09DE0482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255FB057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Coeficientes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estandarizados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62FCCD86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Coeficientes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estandarizados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1765784E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2AC50E05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Sig.</w:t>
            </w:r>
          </w:p>
        </w:tc>
      </w:tr>
      <w:tr w:rsidR="000B2F39" w14:paraId="5FB74B3D" w14:textId="77777777" w:rsidTr="000B2F39">
        <w:trPr>
          <w:trHeight w:val="504"/>
        </w:trPr>
        <w:tc>
          <w:tcPr>
            <w:tcW w:w="8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  <w:vAlign w:val="bottom"/>
          </w:tcPr>
          <w:p w14:paraId="756D569D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7EA0C7EE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7923023F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4F1A36C7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Error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típ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BB44EEE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Beta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0F44C3C0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14:paraId="5C165492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Error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típ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</w:tr>
      <w:tr w:rsidR="000B2F39" w14:paraId="0C704493" w14:textId="77777777" w:rsidTr="000B2F39">
        <w:trPr>
          <w:trHeight w:val="273"/>
        </w:trPr>
        <w:tc>
          <w:tcPr>
            <w:tcW w:w="87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15CE5A13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2862487F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Constante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5D83EF73" w14:textId="77777777" w:rsidR="000B2F39" w:rsidRDefault="000B2F39" w:rsidP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1.981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2985FB46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.348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140586DF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6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313D5B4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5.201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1AFA392D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.035</w:t>
            </w:r>
          </w:p>
        </w:tc>
      </w:tr>
      <w:tr w:rsidR="000B2F39" w14:paraId="2F027B89" w14:textId="77777777" w:rsidTr="000B2F39">
        <w:trPr>
          <w:trHeight w:val="273"/>
        </w:trPr>
        <w:tc>
          <w:tcPr>
            <w:tcW w:w="87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14:paraId="4A036AFB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14:paraId="002C0624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Precio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3F43638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-3.54E-006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AD0E374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.000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7AB2AA96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1.409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14:paraId="33472757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3.965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14:paraId="4BBD0F58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.058</w:t>
            </w:r>
          </w:p>
        </w:tc>
      </w:tr>
      <w:tr w:rsidR="000B2F39" w14:paraId="51E35332" w14:textId="77777777" w:rsidTr="000B2F39">
        <w:trPr>
          <w:trHeight w:val="273"/>
        </w:trPr>
        <w:tc>
          <w:tcPr>
            <w:tcW w:w="87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14:paraId="0D4A0513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BB15642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Tamaño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471033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A452F7E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.002</w:t>
            </w:r>
          </w:p>
        </w:tc>
        <w:tc>
          <w:tcPr>
            <w:tcW w:w="166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B3BF31A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-1.406</w:t>
            </w:r>
          </w:p>
        </w:tc>
        <w:tc>
          <w:tcPr>
            <w:tcW w:w="76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5EA0FE0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-3.956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14:paraId="0F6FDFA4" w14:textId="77777777" w:rsidR="000B2F39" w:rsidRDefault="000B2F3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.058</w:t>
            </w:r>
          </w:p>
        </w:tc>
      </w:tr>
    </w:tbl>
    <w:p w14:paraId="18FB7CFC" w14:textId="77777777" w:rsidR="000B2F39" w:rsidRDefault="000B2F39" w:rsidP="000B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  <w:proofErr w:type="gramStart"/>
      <w:r>
        <w:rPr>
          <w:rFonts w:ascii="Arial" w:hAnsi="Arial" w:cs="Arial"/>
          <w:color w:val="000000"/>
          <w:sz w:val="18"/>
          <w:szCs w:val="18"/>
          <w:lang w:val="en-US"/>
        </w:rPr>
        <w:t>a  Variable</w:t>
      </w:r>
      <w:proofErr w:type="gram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dependiente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Absorcion</w:t>
      </w:r>
      <w:proofErr w:type="spellEnd"/>
    </w:p>
    <w:p w14:paraId="02F67E88" w14:textId="77777777" w:rsidR="000B2F39" w:rsidRDefault="000B2F39" w:rsidP="000B2F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4560D69C" w14:textId="77777777" w:rsidR="00333780" w:rsidRDefault="00333780" w:rsidP="000B2F39">
      <w:pPr>
        <w:tabs>
          <w:tab w:val="center" w:pos="404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F160926" w14:textId="77777777" w:rsidR="00333780" w:rsidRPr="00824FE0" w:rsidRDefault="00333780" w:rsidP="00606718">
      <w:pPr>
        <w:spacing w:after="0" w:line="240" w:lineRule="auto"/>
        <w:jc w:val="both"/>
        <w:rPr>
          <w:b/>
          <w:sz w:val="28"/>
          <w:szCs w:val="28"/>
        </w:rPr>
      </w:pPr>
    </w:p>
    <w:p w14:paraId="7B69C58D" w14:textId="77777777" w:rsidR="00333780" w:rsidRPr="001652CB" w:rsidRDefault="00333780" w:rsidP="00333780">
      <w:pPr>
        <w:spacing w:after="0" w:line="240" w:lineRule="auto"/>
        <w:jc w:val="both"/>
        <w:rPr>
          <w:b/>
          <w:sz w:val="28"/>
          <w:szCs w:val="28"/>
        </w:rPr>
      </w:pPr>
      <w:r w:rsidRPr="001652CB">
        <w:rPr>
          <w:b/>
          <w:sz w:val="28"/>
          <w:szCs w:val="28"/>
        </w:rPr>
        <w:t>Coeficientes</w:t>
      </w:r>
      <w:r w:rsidRPr="001652CB">
        <w:rPr>
          <w:b/>
          <w:sz w:val="28"/>
          <w:szCs w:val="28"/>
        </w:rPr>
        <w:tab/>
      </w:r>
      <w:r w:rsidRPr="001652CB">
        <w:rPr>
          <w:b/>
          <w:sz w:val="28"/>
          <w:szCs w:val="28"/>
        </w:rPr>
        <w:tab/>
      </w:r>
    </w:p>
    <w:p w14:paraId="23CCAEC1" w14:textId="77777777" w:rsidR="00333780" w:rsidRPr="001652CB" w:rsidRDefault="00333780" w:rsidP="00333780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sz w:val="28"/>
          <w:szCs w:val="28"/>
        </w:rPr>
        <w:t>β</w:t>
      </w:r>
      <w:r w:rsidRPr="001652CB">
        <w:rPr>
          <w:sz w:val="28"/>
          <w:szCs w:val="28"/>
          <w:vertAlign w:val="subscript"/>
        </w:rPr>
        <w:t xml:space="preserve">0 </w:t>
      </w:r>
      <w:r w:rsidRPr="001652CB">
        <w:rPr>
          <w:sz w:val="28"/>
          <w:szCs w:val="28"/>
        </w:rPr>
        <w:t xml:space="preserve">= </w:t>
      </w:r>
      <w:r w:rsidR="000B2F39">
        <w:rPr>
          <w:sz w:val="28"/>
          <w:szCs w:val="28"/>
        </w:rPr>
        <w:t>1</w:t>
      </w:r>
      <w:r w:rsidRPr="001652CB">
        <w:rPr>
          <w:sz w:val="28"/>
          <w:szCs w:val="28"/>
        </w:rPr>
        <w:t>.</w:t>
      </w:r>
      <w:r w:rsidR="000B2F39">
        <w:rPr>
          <w:sz w:val="28"/>
          <w:szCs w:val="28"/>
        </w:rPr>
        <w:t>981</w:t>
      </w:r>
      <w:r w:rsidRPr="001652CB">
        <w:rPr>
          <w:sz w:val="28"/>
          <w:szCs w:val="28"/>
        </w:rPr>
        <w:t xml:space="preserve">       β</w:t>
      </w:r>
      <w:r w:rsidRPr="001652CB">
        <w:rPr>
          <w:sz w:val="28"/>
          <w:szCs w:val="28"/>
          <w:vertAlign w:val="subscript"/>
        </w:rPr>
        <w:t xml:space="preserve">1 </w:t>
      </w:r>
      <w:r w:rsidRPr="001652CB">
        <w:rPr>
          <w:sz w:val="28"/>
          <w:szCs w:val="28"/>
        </w:rPr>
        <w:t xml:space="preserve">= </w:t>
      </w:r>
      <w:r w:rsidR="00630B98">
        <w:rPr>
          <w:sz w:val="28"/>
          <w:szCs w:val="28"/>
        </w:rPr>
        <w:t>-</w:t>
      </w:r>
      <w:r>
        <w:rPr>
          <w:sz w:val="28"/>
          <w:szCs w:val="28"/>
        </w:rPr>
        <w:t>0.00000</w:t>
      </w:r>
      <w:r w:rsidR="00052573">
        <w:rPr>
          <w:sz w:val="28"/>
          <w:szCs w:val="28"/>
        </w:rPr>
        <w:t>3</w:t>
      </w:r>
      <w:r w:rsidR="000B2F39">
        <w:rPr>
          <w:sz w:val="28"/>
          <w:szCs w:val="28"/>
        </w:rPr>
        <w:t>54</w:t>
      </w:r>
      <w:r w:rsidRPr="001652CB">
        <w:rPr>
          <w:sz w:val="28"/>
          <w:szCs w:val="28"/>
        </w:rPr>
        <w:t xml:space="preserve">      β</w:t>
      </w:r>
      <w:r w:rsidRPr="001652CB">
        <w:rPr>
          <w:sz w:val="28"/>
          <w:szCs w:val="28"/>
          <w:vertAlign w:val="subscript"/>
        </w:rPr>
        <w:t xml:space="preserve">2 </w:t>
      </w:r>
      <w:r w:rsidRPr="001652CB">
        <w:rPr>
          <w:sz w:val="28"/>
          <w:szCs w:val="28"/>
        </w:rPr>
        <w:t>= 0.0</w:t>
      </w:r>
      <w:r w:rsidR="00052573">
        <w:rPr>
          <w:sz w:val="28"/>
          <w:szCs w:val="28"/>
        </w:rPr>
        <w:t>0</w:t>
      </w:r>
      <w:r w:rsidR="000B2F39">
        <w:rPr>
          <w:sz w:val="28"/>
          <w:szCs w:val="28"/>
        </w:rPr>
        <w:t>8</w:t>
      </w:r>
      <w:r w:rsidRPr="001652CB">
        <w:rPr>
          <w:sz w:val="28"/>
          <w:szCs w:val="28"/>
        </w:rPr>
        <w:t xml:space="preserve">     </w:t>
      </w:r>
      <w:r w:rsidRPr="001652CB">
        <w:rPr>
          <w:sz w:val="28"/>
          <w:szCs w:val="28"/>
        </w:rPr>
        <w:tab/>
        <w:t xml:space="preserve">             </w:t>
      </w:r>
      <w:r w:rsidRPr="001652CB">
        <w:rPr>
          <w:sz w:val="28"/>
          <w:szCs w:val="28"/>
        </w:rPr>
        <w:tab/>
      </w:r>
    </w:p>
    <w:p w14:paraId="7E58F7C1" w14:textId="77777777" w:rsidR="00333780" w:rsidRPr="001652CB" w:rsidRDefault="00333780" w:rsidP="00333780">
      <w:pPr>
        <w:spacing w:after="0" w:line="240" w:lineRule="auto"/>
        <w:jc w:val="both"/>
        <w:rPr>
          <w:sz w:val="28"/>
          <w:szCs w:val="28"/>
        </w:rPr>
      </w:pPr>
    </w:p>
    <w:p w14:paraId="3625988E" w14:textId="77777777" w:rsidR="00333780" w:rsidRPr="001652CB" w:rsidRDefault="00333780" w:rsidP="00333780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sz w:val="28"/>
          <w:szCs w:val="28"/>
        </w:rPr>
        <w:t>Para los valores estimados de X</w:t>
      </w:r>
      <w:r w:rsidRPr="001652CB">
        <w:rPr>
          <w:sz w:val="28"/>
          <w:szCs w:val="28"/>
          <w:vertAlign w:val="subscript"/>
        </w:rPr>
        <w:t>1</w:t>
      </w:r>
      <w:r w:rsidRPr="001652CB">
        <w:rPr>
          <w:sz w:val="28"/>
          <w:szCs w:val="28"/>
        </w:rPr>
        <w:t xml:space="preserve">(Precio) = </w:t>
      </w:r>
      <w:r w:rsidR="00627E44" w:rsidRPr="00627E44">
        <w:rPr>
          <w:b/>
          <w:sz w:val="28"/>
          <w:szCs w:val="28"/>
        </w:rPr>
        <w:t>565</w:t>
      </w:r>
      <w:r w:rsidR="00627E44">
        <w:rPr>
          <w:b/>
          <w:sz w:val="28"/>
          <w:szCs w:val="28"/>
        </w:rPr>
        <w:t>,</w:t>
      </w:r>
      <w:r w:rsidR="00627E44" w:rsidRPr="00627E44">
        <w:rPr>
          <w:b/>
          <w:sz w:val="28"/>
          <w:szCs w:val="28"/>
        </w:rPr>
        <w:t xml:space="preserve">655 </w:t>
      </w:r>
      <w:r w:rsidRPr="001652CB">
        <w:rPr>
          <w:sz w:val="28"/>
          <w:szCs w:val="28"/>
        </w:rPr>
        <w:t>y X</w:t>
      </w:r>
      <w:r w:rsidRPr="001652CB">
        <w:rPr>
          <w:sz w:val="28"/>
          <w:szCs w:val="28"/>
          <w:vertAlign w:val="subscript"/>
        </w:rPr>
        <w:t>2</w:t>
      </w:r>
      <w:r w:rsidRPr="001652CB">
        <w:rPr>
          <w:sz w:val="28"/>
          <w:szCs w:val="28"/>
        </w:rPr>
        <w:t>(</w:t>
      </w:r>
      <w:r>
        <w:rPr>
          <w:sz w:val="28"/>
          <w:szCs w:val="28"/>
        </w:rPr>
        <w:t>Tamaño</w:t>
      </w:r>
      <w:r w:rsidRPr="001652CB">
        <w:rPr>
          <w:sz w:val="28"/>
          <w:szCs w:val="28"/>
        </w:rPr>
        <w:t xml:space="preserve">) = </w:t>
      </w:r>
      <w:r w:rsidR="00052573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2</w:t>
      </w:r>
      <w:r w:rsidRPr="001652CB">
        <w:rPr>
          <w:sz w:val="28"/>
          <w:szCs w:val="28"/>
        </w:rPr>
        <w:t>, la predicción del modelo fue:</w:t>
      </w:r>
    </w:p>
    <w:p w14:paraId="5B5A59B9" w14:textId="77777777" w:rsidR="00333780" w:rsidRPr="001652CB" w:rsidRDefault="00333780" w:rsidP="00333780">
      <w:pPr>
        <w:spacing w:after="0" w:line="240" w:lineRule="auto"/>
        <w:jc w:val="both"/>
        <w:rPr>
          <w:sz w:val="28"/>
          <w:szCs w:val="28"/>
        </w:rPr>
      </w:pPr>
    </w:p>
    <w:p w14:paraId="3430FBC1" w14:textId="77777777" w:rsidR="00333780" w:rsidRPr="001652CB" w:rsidRDefault="00333780" w:rsidP="00333780">
      <w:pPr>
        <w:spacing w:after="0" w:line="240" w:lineRule="auto"/>
        <w:jc w:val="both"/>
        <w:rPr>
          <w:sz w:val="28"/>
          <w:szCs w:val="28"/>
        </w:rPr>
      </w:pPr>
      <w:r w:rsidRPr="001652CB">
        <w:rPr>
          <w:b/>
          <w:sz w:val="28"/>
          <w:szCs w:val="28"/>
        </w:rPr>
        <w:t>Absorción</w:t>
      </w:r>
      <w:r w:rsidRPr="001652CB">
        <w:rPr>
          <w:sz w:val="28"/>
          <w:szCs w:val="28"/>
        </w:rPr>
        <w:t xml:space="preserve"> </w:t>
      </w:r>
      <w:r w:rsidRPr="001652CB">
        <w:rPr>
          <w:b/>
          <w:sz w:val="28"/>
          <w:szCs w:val="28"/>
        </w:rPr>
        <w:t xml:space="preserve">Estimada </w:t>
      </w:r>
      <w:r w:rsidR="000B2F39">
        <w:rPr>
          <w:sz w:val="28"/>
          <w:szCs w:val="28"/>
        </w:rPr>
        <w:t>= 1</w:t>
      </w:r>
      <w:r w:rsidRPr="001652CB">
        <w:rPr>
          <w:sz w:val="28"/>
          <w:szCs w:val="28"/>
        </w:rPr>
        <w:t>.</w:t>
      </w:r>
      <w:r w:rsidR="000B2F39">
        <w:rPr>
          <w:sz w:val="28"/>
          <w:szCs w:val="28"/>
        </w:rPr>
        <w:t>981</w:t>
      </w:r>
      <w:r w:rsidRPr="001652CB">
        <w:rPr>
          <w:sz w:val="28"/>
          <w:szCs w:val="28"/>
        </w:rPr>
        <w:t xml:space="preserve"> + (</w:t>
      </w:r>
      <w:r w:rsidR="00630B98">
        <w:rPr>
          <w:sz w:val="28"/>
          <w:szCs w:val="28"/>
        </w:rPr>
        <w:t>-</w:t>
      </w:r>
      <w:r w:rsidRPr="001652CB">
        <w:rPr>
          <w:sz w:val="28"/>
          <w:szCs w:val="28"/>
        </w:rPr>
        <w:t>0.0</w:t>
      </w:r>
      <w:r>
        <w:rPr>
          <w:sz w:val="28"/>
          <w:szCs w:val="28"/>
        </w:rPr>
        <w:t>0000</w:t>
      </w:r>
      <w:r w:rsidR="00052573">
        <w:rPr>
          <w:sz w:val="28"/>
          <w:szCs w:val="28"/>
        </w:rPr>
        <w:t>3</w:t>
      </w:r>
      <w:r w:rsidR="000B2F39">
        <w:rPr>
          <w:sz w:val="28"/>
          <w:szCs w:val="28"/>
        </w:rPr>
        <w:t>54</w:t>
      </w:r>
      <w:r w:rsidRPr="001652CB">
        <w:rPr>
          <w:sz w:val="28"/>
          <w:szCs w:val="28"/>
        </w:rPr>
        <w:t>*</w:t>
      </w:r>
      <w:r w:rsidR="00052573">
        <w:rPr>
          <w:sz w:val="28"/>
          <w:szCs w:val="28"/>
        </w:rPr>
        <w:t>5</w:t>
      </w:r>
      <w:r w:rsidR="00627E44">
        <w:rPr>
          <w:sz w:val="28"/>
          <w:szCs w:val="28"/>
        </w:rPr>
        <w:t>65</w:t>
      </w:r>
      <w:r w:rsidRPr="001652CB">
        <w:rPr>
          <w:sz w:val="28"/>
          <w:szCs w:val="28"/>
        </w:rPr>
        <w:t>,</w:t>
      </w:r>
      <w:r w:rsidR="00052573">
        <w:rPr>
          <w:sz w:val="28"/>
          <w:szCs w:val="28"/>
        </w:rPr>
        <w:t>655</w:t>
      </w:r>
      <w:r w:rsidRPr="001652CB">
        <w:rPr>
          <w:sz w:val="28"/>
          <w:szCs w:val="28"/>
        </w:rPr>
        <w:t>) + (0.0</w:t>
      </w:r>
      <w:r w:rsidR="00052573">
        <w:rPr>
          <w:sz w:val="28"/>
          <w:szCs w:val="28"/>
        </w:rPr>
        <w:t>0</w:t>
      </w:r>
      <w:r w:rsidR="000B2F39">
        <w:rPr>
          <w:sz w:val="28"/>
          <w:szCs w:val="28"/>
        </w:rPr>
        <w:t>8</w:t>
      </w:r>
      <w:r w:rsidRPr="001652CB">
        <w:rPr>
          <w:sz w:val="28"/>
          <w:szCs w:val="28"/>
        </w:rPr>
        <w:t>*</w:t>
      </w:r>
      <w:r w:rsidR="00052573">
        <w:rPr>
          <w:sz w:val="28"/>
          <w:szCs w:val="28"/>
        </w:rPr>
        <w:t>242</w:t>
      </w:r>
      <w:r w:rsidRPr="001652CB">
        <w:rPr>
          <w:sz w:val="28"/>
          <w:szCs w:val="28"/>
        </w:rPr>
        <w:t>)</w:t>
      </w:r>
    </w:p>
    <w:p w14:paraId="5636E404" w14:textId="77777777" w:rsidR="00333780" w:rsidRPr="001652CB" w:rsidRDefault="00333780" w:rsidP="00333780">
      <w:pPr>
        <w:spacing w:after="0" w:line="240" w:lineRule="auto"/>
        <w:jc w:val="both"/>
        <w:rPr>
          <w:b/>
          <w:sz w:val="28"/>
          <w:szCs w:val="28"/>
        </w:rPr>
      </w:pPr>
      <w:r w:rsidRPr="001652CB">
        <w:rPr>
          <w:b/>
          <w:sz w:val="28"/>
          <w:szCs w:val="28"/>
        </w:rPr>
        <w:t>Absorción</w:t>
      </w:r>
      <w:r w:rsidRPr="001652CB">
        <w:rPr>
          <w:sz w:val="28"/>
          <w:szCs w:val="28"/>
        </w:rPr>
        <w:t xml:space="preserve"> </w:t>
      </w:r>
      <w:r w:rsidRPr="001652CB">
        <w:rPr>
          <w:b/>
          <w:sz w:val="28"/>
          <w:szCs w:val="28"/>
        </w:rPr>
        <w:t xml:space="preserve">Estimada </w:t>
      </w:r>
      <w:r w:rsidRPr="001652CB">
        <w:rPr>
          <w:sz w:val="28"/>
          <w:szCs w:val="28"/>
        </w:rPr>
        <w:t xml:space="preserve">= </w:t>
      </w:r>
      <w:r w:rsidR="000B2F39">
        <w:rPr>
          <w:b/>
          <w:sz w:val="28"/>
          <w:szCs w:val="28"/>
          <w:highlight w:val="yellow"/>
        </w:rPr>
        <w:t>1</w:t>
      </w:r>
      <w:r w:rsidRPr="00DB429F">
        <w:rPr>
          <w:b/>
          <w:sz w:val="28"/>
          <w:szCs w:val="28"/>
          <w:highlight w:val="yellow"/>
        </w:rPr>
        <w:t>.</w:t>
      </w:r>
      <w:r w:rsidR="000B2F39">
        <w:rPr>
          <w:b/>
          <w:sz w:val="28"/>
          <w:szCs w:val="28"/>
          <w:highlight w:val="yellow"/>
        </w:rPr>
        <w:t>91</w:t>
      </w:r>
    </w:p>
    <w:p w14:paraId="12D6638B" w14:textId="77777777" w:rsidR="00245C42" w:rsidRDefault="00245C42" w:rsidP="00606718">
      <w:pPr>
        <w:spacing w:after="0" w:line="240" w:lineRule="auto"/>
        <w:jc w:val="both"/>
      </w:pPr>
    </w:p>
    <w:p w14:paraId="45B58929" w14:textId="77777777" w:rsidR="00606718" w:rsidRDefault="00606718" w:rsidP="00606718">
      <w:pPr>
        <w:spacing w:after="0" w:line="240" w:lineRule="auto"/>
        <w:jc w:val="both"/>
        <w:rPr>
          <w:b/>
          <w:sz w:val="28"/>
          <w:szCs w:val="28"/>
        </w:rPr>
      </w:pPr>
    </w:p>
    <w:tbl>
      <w:tblPr>
        <w:tblW w:w="5720" w:type="dxa"/>
        <w:tblLook w:val="04A0" w:firstRow="1" w:lastRow="0" w:firstColumn="1" w:lastColumn="0" w:noHBand="0" w:noVBand="1"/>
      </w:tblPr>
      <w:tblGrid>
        <w:gridCol w:w="1780"/>
        <w:gridCol w:w="1200"/>
        <w:gridCol w:w="1360"/>
        <w:gridCol w:w="1380"/>
      </w:tblGrid>
      <w:tr w:rsidR="00245C42" w:rsidRPr="00245C42" w14:paraId="2C32E8CD" w14:textId="77777777" w:rsidTr="00245C42">
        <w:trPr>
          <w:trHeight w:val="76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D68A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E425482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Límite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inferior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1B0DA0B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Estimada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8A9912B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Limite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Superior</w:t>
            </w:r>
          </w:p>
        </w:tc>
      </w:tr>
      <w:tr w:rsidR="00245C42" w:rsidRPr="00245C42" w14:paraId="71BA02CC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9D392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Tamaño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64C5F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CB87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8CCEA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278</w:t>
            </w:r>
          </w:p>
        </w:tc>
      </w:tr>
      <w:tr w:rsidR="00245C42" w:rsidRPr="00245C42" w14:paraId="3E878AF4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4B7E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ECC29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552928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AFAE5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565655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C6F0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650503</w:t>
            </w:r>
          </w:p>
        </w:tc>
      </w:tr>
      <w:tr w:rsidR="00245C42" w:rsidRPr="00245C42" w14:paraId="108E258F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A9216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mt2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56A4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2398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CD23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2453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D7F6C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2821</w:t>
            </w:r>
          </w:p>
        </w:tc>
      </w:tr>
      <w:tr w:rsidR="00245C42" w:rsidRPr="00245C42" w14:paraId="4681F9BC" w14:textId="77777777" w:rsidTr="00245C42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91D4" w14:textId="77777777" w:rsidR="00245C42" w:rsidRPr="00245C42" w:rsidRDefault="00245C42" w:rsidP="00245C4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245C4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Absorción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133E324F" w14:textId="77777777" w:rsidR="00245C42" w:rsidRPr="00245C42" w:rsidRDefault="00245C42" w:rsidP="00245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</w:t>
            </w:r>
            <w:r w:rsidR="000B2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41CAE54" w14:textId="77777777" w:rsidR="00245C42" w:rsidRPr="00245C42" w:rsidRDefault="000B2F39" w:rsidP="000B2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</w:t>
            </w:r>
            <w:r w:rsidR="00245C42"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B58BE1B" w14:textId="77777777" w:rsidR="00245C42" w:rsidRPr="00245C42" w:rsidRDefault="00245C42" w:rsidP="000B2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245C4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2.</w:t>
            </w:r>
            <w:r w:rsidR="000B2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</w:tr>
    </w:tbl>
    <w:p w14:paraId="035678BE" w14:textId="77777777" w:rsidR="00F11454" w:rsidRDefault="00F11454" w:rsidP="00550C8F">
      <w:pPr>
        <w:spacing w:after="0" w:line="240" w:lineRule="auto"/>
        <w:jc w:val="both"/>
        <w:rPr>
          <w:b/>
          <w:sz w:val="44"/>
          <w:szCs w:val="44"/>
        </w:rPr>
      </w:pPr>
    </w:p>
    <w:p w14:paraId="2762C387" w14:textId="77777777" w:rsidR="00550C8F" w:rsidRDefault="00550C8F" w:rsidP="00550C8F">
      <w:pPr>
        <w:spacing w:after="0" w:line="240" w:lineRule="auto"/>
        <w:jc w:val="both"/>
        <w:rPr>
          <w:b/>
          <w:sz w:val="44"/>
          <w:szCs w:val="44"/>
        </w:rPr>
      </w:pPr>
    </w:p>
    <w:p w14:paraId="12F3D5DB" w14:textId="77777777" w:rsidR="00550C8F" w:rsidRDefault="00550C8F" w:rsidP="00550C8F">
      <w:pPr>
        <w:spacing w:after="0" w:line="240" w:lineRule="auto"/>
        <w:jc w:val="both"/>
        <w:rPr>
          <w:b/>
          <w:sz w:val="44"/>
          <w:szCs w:val="44"/>
        </w:rPr>
      </w:pPr>
    </w:p>
    <w:p w14:paraId="2F5FF4CC" w14:textId="77777777" w:rsidR="00550C8F" w:rsidRDefault="00550C8F" w:rsidP="00550C8F">
      <w:pPr>
        <w:spacing w:after="0" w:line="240" w:lineRule="auto"/>
        <w:jc w:val="both"/>
        <w:rPr>
          <w:b/>
          <w:sz w:val="44"/>
          <w:szCs w:val="44"/>
        </w:rPr>
      </w:pPr>
    </w:p>
    <w:p w14:paraId="0F3EFF78" w14:textId="77777777" w:rsidR="00550C8F" w:rsidRDefault="00550C8F" w:rsidP="00550C8F">
      <w:pPr>
        <w:spacing w:after="0" w:line="240" w:lineRule="auto"/>
        <w:jc w:val="both"/>
        <w:rPr>
          <w:b/>
          <w:sz w:val="44"/>
          <w:szCs w:val="44"/>
        </w:rPr>
      </w:pPr>
    </w:p>
    <w:p w14:paraId="7EDB4B66" w14:textId="77777777" w:rsidR="00622522" w:rsidRDefault="00622522" w:rsidP="00622522">
      <w:pPr>
        <w:spacing w:after="0" w:line="240" w:lineRule="auto"/>
        <w:jc w:val="both"/>
        <w:rPr>
          <w:b/>
          <w:sz w:val="44"/>
          <w:szCs w:val="44"/>
        </w:rPr>
      </w:pPr>
      <w:r w:rsidRPr="00824FE0">
        <w:rPr>
          <w:b/>
          <w:sz w:val="44"/>
          <w:szCs w:val="44"/>
        </w:rPr>
        <w:lastRenderedPageBreak/>
        <w:t>Proyecciones</w:t>
      </w:r>
      <w:r>
        <w:rPr>
          <w:b/>
          <w:sz w:val="44"/>
          <w:szCs w:val="44"/>
        </w:rPr>
        <w:t xml:space="preserve"> de Acuerdo al Mercado Histórico</w:t>
      </w:r>
      <w:r w:rsidRPr="00824FE0">
        <w:rPr>
          <w:b/>
          <w:sz w:val="44"/>
          <w:szCs w:val="44"/>
        </w:rPr>
        <w:t>:</w:t>
      </w:r>
    </w:p>
    <w:p w14:paraId="3DE879B9" w14:textId="77777777" w:rsidR="00622522" w:rsidRDefault="00622522" w:rsidP="00550C8F">
      <w:pPr>
        <w:spacing w:after="0" w:line="240" w:lineRule="auto"/>
        <w:jc w:val="center"/>
        <w:rPr>
          <w:b/>
          <w:sz w:val="28"/>
          <w:szCs w:val="28"/>
        </w:rPr>
      </w:pPr>
    </w:p>
    <w:p w14:paraId="1A9276D1" w14:textId="77777777" w:rsidR="00550C8F" w:rsidRPr="003F2D27" w:rsidRDefault="00550C8F" w:rsidP="00550C8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Estimación de Precio mt</w:t>
      </w:r>
      <w:r w:rsidRPr="003F2D27"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de Construcción (Actual)</w:t>
      </w:r>
    </w:p>
    <w:p w14:paraId="7FE4E3C6" w14:textId="77777777" w:rsidR="00550C8F" w:rsidRDefault="00550C8F" w:rsidP="00550C8F">
      <w:pPr>
        <w:spacing w:after="0" w:line="240" w:lineRule="auto"/>
        <w:jc w:val="both"/>
      </w:pPr>
    </w:p>
    <w:p w14:paraId="0B031772" w14:textId="77777777" w:rsidR="00550C8F" w:rsidRPr="003F2D27" w:rsidRDefault="00550C8F" w:rsidP="00550C8F">
      <w:pPr>
        <w:spacing w:after="0" w:line="240" w:lineRule="auto"/>
        <w:jc w:val="both"/>
        <w:rPr>
          <w:b/>
        </w:rPr>
      </w:pPr>
      <w:r w:rsidRPr="003F2D27">
        <w:rPr>
          <w:b/>
        </w:rPr>
        <w:t>Metodología</w:t>
      </w:r>
    </w:p>
    <w:p w14:paraId="10A73547" w14:textId="77777777" w:rsidR="00550C8F" w:rsidRDefault="00550C8F" w:rsidP="00550C8F">
      <w:pPr>
        <w:spacing w:after="0" w:line="240" w:lineRule="auto"/>
        <w:jc w:val="both"/>
      </w:pPr>
    </w:p>
    <w:p w14:paraId="79B3957E" w14:textId="77777777" w:rsidR="00550C8F" w:rsidRDefault="00550C8F" w:rsidP="00550C8F">
      <w:pPr>
        <w:spacing w:after="0" w:line="240" w:lineRule="auto"/>
        <w:jc w:val="both"/>
      </w:pPr>
      <w:r w:rsidRPr="009F38F1">
        <w:t xml:space="preserve">Para </w:t>
      </w:r>
      <w:r>
        <w:t>la estimación del precio por mt</w:t>
      </w:r>
      <w:r w:rsidRPr="009F38F1">
        <w:rPr>
          <w:vertAlign w:val="superscript"/>
        </w:rPr>
        <w:t>2</w:t>
      </w:r>
      <w:r>
        <w:t xml:space="preserve"> de construcción del proyecto, se evaluó el cambio de los niveles de precios en una categoría de bienes raíces (</w:t>
      </w:r>
      <w:r>
        <w:rPr>
          <w:b/>
        </w:rPr>
        <w:t>Vertical y Horizontal</w:t>
      </w:r>
      <w:r>
        <w:t>) y ubicación determinada (</w:t>
      </w:r>
      <w:r>
        <w:rPr>
          <w:b/>
        </w:rPr>
        <w:t>Los Cabos</w:t>
      </w:r>
      <w:r>
        <w:t xml:space="preserve">), a través del análisis del valor </w:t>
      </w:r>
      <w:r w:rsidRPr="00622522">
        <w:rPr>
          <w:highlight w:val="yellow"/>
        </w:rPr>
        <w:t>histórico</w:t>
      </w:r>
      <w:r>
        <w:t xml:space="preserve"> de mercado. Donde el valor de mercado actual se estableció mediante la siguiente ecuación:</w:t>
      </w:r>
    </w:p>
    <w:p w14:paraId="797B0585" w14:textId="77777777" w:rsidR="00550C8F" w:rsidRDefault="00550C8F" w:rsidP="00550C8F">
      <w:pPr>
        <w:spacing w:after="0" w:line="240" w:lineRule="auto"/>
      </w:pPr>
    </w:p>
    <w:p w14:paraId="7F8FBE2B" w14:textId="77777777" w:rsidR="00550C8F" w:rsidRPr="0088052B" w:rsidRDefault="00550C8F" w:rsidP="00550C8F">
      <w:pPr>
        <w:spacing w:after="0" w:line="240" w:lineRule="auto"/>
        <w:jc w:val="center"/>
      </w:pPr>
      <m:oMath>
        <m:r>
          <w:rPr>
            <w:rFonts w:ascii="Cambria Math" w:hAnsi="Cambria Math"/>
          </w:rPr>
          <m:t>P=Ph+ Ic+Ia</m:t>
        </m:r>
      </m:oMath>
      <w:r w:rsidRPr="0088052B">
        <w:tab/>
      </w:r>
      <w:r w:rsidRPr="0088052B">
        <w:tab/>
        <w:t>(1)</w:t>
      </w:r>
    </w:p>
    <w:p w14:paraId="487F6564" w14:textId="77777777" w:rsidR="00550C8F" w:rsidRDefault="00550C8F" w:rsidP="00550C8F">
      <w:pPr>
        <w:spacing w:after="0" w:line="240" w:lineRule="auto"/>
      </w:pPr>
      <w:r>
        <w:t>donde:</w:t>
      </w:r>
    </w:p>
    <w:p w14:paraId="5A618B36" w14:textId="77777777" w:rsidR="00550C8F" w:rsidRDefault="00550C8F" w:rsidP="00550C8F">
      <w:pPr>
        <w:spacing w:after="0" w:line="240" w:lineRule="auto"/>
      </w:pPr>
    </w:p>
    <w:p w14:paraId="6B26874F" w14:textId="77777777" w:rsidR="00550C8F" w:rsidRDefault="00550C8F" w:rsidP="00550C8F">
      <w:pPr>
        <w:spacing w:after="0" w:line="240" w:lineRule="auto"/>
      </w:pPr>
      <m:oMath>
        <m:r>
          <w:rPr>
            <w:rFonts w:ascii="Cambria Math" w:hAnsi="Cambria Math"/>
          </w:rPr>
          <m:t>P:</m:t>
        </m:r>
      </m:oMath>
      <w:r>
        <w:rPr>
          <w:rFonts w:ascii="Cambria Math" w:hAnsi="Cambria Math"/>
          <w:i/>
        </w:rPr>
        <w:t xml:space="preserve"> </w:t>
      </w:r>
      <w:r>
        <w:t xml:space="preserve"> Precio actual de mercado.</w:t>
      </w:r>
    </w:p>
    <w:p w14:paraId="4021C2BB" w14:textId="77777777" w:rsidR="00550C8F" w:rsidRDefault="00550C8F" w:rsidP="00550C8F">
      <w:pPr>
        <w:spacing w:after="0" w:line="240" w:lineRule="auto"/>
      </w:pPr>
    </w:p>
    <w:p w14:paraId="6A386276" w14:textId="77777777" w:rsidR="00550C8F" w:rsidRDefault="00550C8F" w:rsidP="00550C8F">
      <w:pPr>
        <w:spacing w:after="0" w:line="240" w:lineRule="auto"/>
      </w:pPr>
      <m:oMath>
        <m:r>
          <w:rPr>
            <w:rFonts w:ascii="Cambria Math" w:hAnsi="Cambria Math"/>
          </w:rPr>
          <m:t>Ph:</m:t>
        </m:r>
      </m:oMath>
      <w:r>
        <w:rPr>
          <w:rFonts w:ascii="Cambria Math" w:hAnsi="Cambria Math"/>
          <w:i/>
        </w:rPr>
        <w:t xml:space="preserve"> </w:t>
      </w:r>
      <w:r>
        <w:t>Precio de mercado histórico. Determinado por el promedio de los precios evaluados durante el periodo de estudio.</w:t>
      </w:r>
    </w:p>
    <w:p w14:paraId="1026439A" w14:textId="77777777" w:rsidR="00550C8F" w:rsidRPr="0004740D" w:rsidRDefault="00550C8F" w:rsidP="00550C8F">
      <w:pPr>
        <w:spacing w:after="0" w:line="240" w:lineRule="auto"/>
        <w:jc w:val="both"/>
        <w:rPr>
          <w:rFonts w:eastAsiaTheme="minorEastAsia"/>
        </w:rPr>
      </w:pPr>
    </w:p>
    <w:p w14:paraId="26FC32A7" w14:textId="77777777" w:rsidR="00550C8F" w:rsidRDefault="00550C8F" w:rsidP="00550C8F">
      <w:pPr>
        <w:spacing w:after="0" w:line="240" w:lineRule="auto"/>
        <w:jc w:val="both"/>
      </w:pPr>
      <m:oMath>
        <m:r>
          <w:rPr>
            <w:rFonts w:ascii="Cambria Math" w:hAnsi="Cambria Math"/>
          </w:rPr>
          <m:t>Ia:</m:t>
        </m:r>
      </m:oMath>
      <w:r>
        <w:rPr>
          <w:rFonts w:ascii="Cambria Math" w:hAnsi="Cambria Math"/>
          <w:i/>
        </w:rPr>
        <w:t xml:space="preserve"> </w:t>
      </w:r>
      <w:r>
        <w:t xml:space="preserve">Índice de aumento construcción/técnico de inmuebles. Se consideró la última variación porcentual reportada en el índice SHF </w:t>
      </w:r>
      <w:r w:rsidRPr="00D64DCA">
        <w:t xml:space="preserve">(Sociedad Hipotecaria Federal) </w:t>
      </w:r>
      <w:r>
        <w:t xml:space="preserve">de precios de la vivienda en México para </w:t>
      </w:r>
      <w:r w:rsidR="0071176A">
        <w:t>Los Cabos</w:t>
      </w:r>
      <w:r>
        <w:t>, en el periodo de tiempo del</w:t>
      </w:r>
      <w:r w:rsidRPr="00D64DCA">
        <w:t xml:space="preserve"> </w:t>
      </w:r>
      <w:r w:rsidR="0071176A">
        <w:t>3er</w:t>
      </w:r>
      <w:r w:rsidRPr="00D64DCA">
        <w:t xml:space="preserve"> trimestre 202</w:t>
      </w:r>
      <w:r w:rsidR="0071176A">
        <w:t>2</w:t>
      </w:r>
      <w:r w:rsidRPr="00D64DCA">
        <w:t>-202</w:t>
      </w:r>
      <w:r w:rsidR="0071176A">
        <w:t>3</w:t>
      </w:r>
      <w:r w:rsidRPr="00D64DCA">
        <w:t>.</w:t>
      </w:r>
    </w:p>
    <w:p w14:paraId="343003FD" w14:textId="77777777" w:rsidR="00550C8F" w:rsidRPr="0004740D" w:rsidRDefault="00550C8F" w:rsidP="00550C8F">
      <w:pPr>
        <w:spacing w:after="0" w:line="240" w:lineRule="auto"/>
        <w:jc w:val="both"/>
        <w:rPr>
          <w:rFonts w:eastAsiaTheme="minorEastAsia"/>
        </w:rPr>
      </w:pPr>
    </w:p>
    <w:p w14:paraId="3115DA27" w14:textId="77777777" w:rsidR="00550C8F" w:rsidRPr="0004740D" w:rsidRDefault="00550C8F" w:rsidP="00550C8F">
      <w:pPr>
        <w:spacing w:after="0" w:line="240" w:lineRule="auto"/>
        <w:jc w:val="both"/>
        <w:rPr>
          <w:rFonts w:eastAsiaTheme="minorEastAsia"/>
        </w:rPr>
      </w:pPr>
    </w:p>
    <w:p w14:paraId="2E5ECA75" w14:textId="77777777" w:rsidR="00550C8F" w:rsidRDefault="00550C8F" w:rsidP="00550C8F">
      <w:pPr>
        <w:spacing w:after="0" w:line="240" w:lineRule="auto"/>
        <w:jc w:val="both"/>
      </w:pPr>
      <m:oMath>
        <m:r>
          <w:rPr>
            <w:rFonts w:ascii="Cambria Math" w:hAnsi="Cambria Math"/>
          </w:rPr>
          <m:t>Ic:</m:t>
        </m:r>
      </m:oMath>
      <w:r>
        <w:rPr>
          <w:rFonts w:eastAsiaTheme="minorEastAsia"/>
        </w:rPr>
        <w:t xml:space="preserve"> </w:t>
      </w:r>
      <w:r>
        <w:t>Índice de cambio de nivel de precio en una ubicación determinada (</w:t>
      </w:r>
      <w:r>
        <w:rPr>
          <w:b/>
        </w:rPr>
        <w:t>Los Cabos</w:t>
      </w:r>
      <w:r>
        <w:t>) y para una categoría determinada de bienes raíces (</w:t>
      </w:r>
      <w:r w:rsidRPr="005C0125">
        <w:rPr>
          <w:b/>
        </w:rPr>
        <w:t>Desarrollo</w:t>
      </w:r>
      <w:r>
        <w:t xml:space="preserve"> </w:t>
      </w:r>
      <w:r w:rsidRPr="00702115">
        <w:rPr>
          <w:b/>
        </w:rPr>
        <w:t>Vertical</w:t>
      </w:r>
      <w:r>
        <w:rPr>
          <w:b/>
        </w:rPr>
        <w:t xml:space="preserve"> y Horizontal</w:t>
      </w:r>
      <w:r>
        <w:t xml:space="preserve">). Este índice nos permite comparar el valor histórico por un lado y el tiempo de la tasación actual por el otro a través de la siguiente ecuación: </w:t>
      </w:r>
    </w:p>
    <w:p w14:paraId="0589BE81" w14:textId="77777777" w:rsidR="00550C8F" w:rsidRDefault="00550C8F" w:rsidP="00550C8F">
      <w:pPr>
        <w:spacing w:after="0" w:line="240" w:lineRule="auto"/>
        <w:jc w:val="both"/>
      </w:pPr>
    </w:p>
    <w:p w14:paraId="105DFFBB" w14:textId="77777777" w:rsidR="00550C8F" w:rsidRPr="00F50870" w:rsidRDefault="00550C8F" w:rsidP="00550C8F">
      <w:pPr>
        <w:spacing w:after="0" w:line="240" w:lineRule="auto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Ic=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cj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j</m:t>
                      </m:r>
                    </m:sub>
                  </m:sSub>
                </m:e>
              </m:nary>
            </m:den>
          </m:f>
        </m:oMath>
      </m:oMathPara>
    </w:p>
    <w:p w14:paraId="01286A80" w14:textId="77777777" w:rsidR="00550C8F" w:rsidRDefault="00550C8F" w:rsidP="00550C8F">
      <w:pPr>
        <w:spacing w:after="0" w:line="240" w:lineRule="auto"/>
      </w:pPr>
      <w:r>
        <w:t>donde:</w:t>
      </w:r>
    </w:p>
    <w:p w14:paraId="068A6182" w14:textId="77777777" w:rsidR="00550C8F" w:rsidRPr="00F50870" w:rsidRDefault="00550C8F" w:rsidP="00550C8F">
      <w:pPr>
        <w:spacing w:after="0" w:line="240" w:lineRule="auto"/>
      </w:pPr>
    </w:p>
    <w:p w14:paraId="05CB63C4" w14:textId="77777777" w:rsidR="00550C8F" w:rsidRDefault="00880E60" w:rsidP="00550C8F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cj</m:t>
            </m:r>
          </m:sub>
        </m:sSub>
        <m:r>
          <w:rPr>
            <w:rFonts w:ascii="Cambria Math" w:hAnsi="Cambria Math"/>
            <w:sz w:val="28"/>
            <w:szCs w:val="28"/>
          </w:rPr>
          <m:t>:</m:t>
        </m:r>
      </m:oMath>
      <w:r w:rsidR="00550C8F">
        <w:t xml:space="preserve"> Í</w:t>
      </w:r>
      <w:r w:rsidR="00550C8F" w:rsidRPr="00F50870">
        <w:t xml:space="preserve">ndice de cambio de precio en una ubicación dada para una base comparativa </w:t>
      </w:r>
      <w:r w:rsidR="00550C8F" w:rsidRPr="00F50870">
        <w:rPr>
          <w:i/>
        </w:rPr>
        <w:t>j</w:t>
      </w:r>
      <w:r w:rsidR="00550C8F" w:rsidRPr="00F50870">
        <w:t xml:space="preserve">. </w:t>
      </w:r>
      <w:r w:rsidR="00550C8F">
        <w:t>Su c</w:t>
      </w:r>
      <w:r w:rsidR="00550C8F" w:rsidRPr="00F50870">
        <w:t xml:space="preserve">álculo </w:t>
      </w:r>
      <w:r w:rsidR="00550C8F">
        <w:t>es estimado a través de la variación entre 2 bases comparativas en un intervalo de tiempo consecutivo</w:t>
      </w:r>
      <w:r w:rsidR="00550C8F" w:rsidRPr="00F50870">
        <w:t>.</w:t>
      </w:r>
    </w:p>
    <w:p w14:paraId="66BF0344" w14:textId="77777777" w:rsidR="00550C8F" w:rsidRPr="00F50870" w:rsidRDefault="00550C8F" w:rsidP="00550C8F">
      <w:pPr>
        <w:spacing w:after="0" w:line="240" w:lineRule="auto"/>
        <w:jc w:val="both"/>
      </w:pPr>
    </w:p>
    <w:p w14:paraId="48ED36F3" w14:textId="77777777" w:rsidR="00550C8F" w:rsidRDefault="00880E60" w:rsidP="00550C8F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:</m:t>
        </m:r>
      </m:oMath>
      <w:r w:rsidR="00550C8F">
        <w:t xml:space="preserve"> </w:t>
      </w:r>
      <w:r w:rsidR="00550C8F" w:rsidRPr="00F50870">
        <w:t xml:space="preserve">Valor de base comparativa </w:t>
      </w:r>
      <w:r w:rsidR="00550C8F" w:rsidRPr="00F50870">
        <w:rPr>
          <w:i/>
        </w:rPr>
        <w:t>j</w:t>
      </w:r>
      <w:r w:rsidR="00550C8F" w:rsidRPr="00F50870">
        <w:t xml:space="preserve">. Este parámetro expresa el valor de la base comparativa </w:t>
      </w:r>
      <w:r w:rsidR="00550C8F" w:rsidRPr="00F50870">
        <w:rPr>
          <w:i/>
        </w:rPr>
        <w:t>j</w:t>
      </w:r>
      <w:r w:rsidR="00550C8F" w:rsidRPr="00F50870">
        <w:t xml:space="preserve"> para la valoración. Para una base comparativa que se define en la misma categoría y ubicación que los bienes inmuebles tasados, se debe establecer una base comparativa con el valor </w:t>
      </w:r>
      <w:r w:rsidR="00550C8F">
        <w:t>representativo del mercado</w:t>
      </w:r>
      <w:r w:rsidR="00550C8F" w:rsidRPr="00F50870">
        <w:t>.</w:t>
      </w:r>
    </w:p>
    <w:p w14:paraId="4F61D83A" w14:textId="77777777" w:rsidR="00550C8F" w:rsidRDefault="00550C8F" w:rsidP="00550C8F">
      <w:pPr>
        <w:spacing w:after="0" w:line="240" w:lineRule="auto"/>
        <w:rPr>
          <w:b/>
          <w:sz w:val="24"/>
          <w:szCs w:val="24"/>
        </w:rPr>
      </w:pPr>
    </w:p>
    <w:p w14:paraId="77B0FBA3" w14:textId="77777777" w:rsidR="00550C8F" w:rsidRDefault="00550C8F" w:rsidP="00550C8F">
      <w:pPr>
        <w:spacing w:after="0" w:line="240" w:lineRule="auto"/>
        <w:rPr>
          <w:b/>
          <w:sz w:val="24"/>
          <w:szCs w:val="24"/>
        </w:rPr>
      </w:pPr>
    </w:p>
    <w:p w14:paraId="5BB2A2DC" w14:textId="77777777" w:rsidR="00550C8F" w:rsidRDefault="00550C8F" w:rsidP="00550C8F">
      <w:pPr>
        <w:spacing w:after="0" w:line="240" w:lineRule="auto"/>
        <w:rPr>
          <w:b/>
          <w:sz w:val="24"/>
          <w:szCs w:val="24"/>
        </w:rPr>
      </w:pPr>
    </w:p>
    <w:p w14:paraId="6F1EBB7E" w14:textId="77777777" w:rsidR="00550C8F" w:rsidRDefault="00550C8F" w:rsidP="00550C8F">
      <w:pPr>
        <w:spacing w:after="0" w:line="240" w:lineRule="auto"/>
        <w:rPr>
          <w:b/>
          <w:sz w:val="24"/>
          <w:szCs w:val="24"/>
        </w:rPr>
      </w:pPr>
    </w:p>
    <w:p w14:paraId="090BCE5B" w14:textId="77777777" w:rsidR="00550C8F" w:rsidRDefault="00550C8F" w:rsidP="00550C8F">
      <w:pPr>
        <w:spacing w:after="0" w:line="240" w:lineRule="auto"/>
        <w:rPr>
          <w:b/>
          <w:sz w:val="24"/>
          <w:szCs w:val="24"/>
        </w:rPr>
      </w:pPr>
      <w:r w:rsidRPr="003F2D27">
        <w:rPr>
          <w:b/>
          <w:sz w:val="24"/>
          <w:szCs w:val="24"/>
        </w:rPr>
        <w:lastRenderedPageBreak/>
        <w:t>Estimación</w:t>
      </w:r>
      <w:r>
        <w:rPr>
          <w:b/>
          <w:sz w:val="24"/>
          <w:szCs w:val="24"/>
        </w:rPr>
        <w:t xml:space="preserve"> </w:t>
      </w:r>
    </w:p>
    <w:p w14:paraId="24F83D05" w14:textId="77777777" w:rsidR="00550C8F" w:rsidRPr="00BB1093" w:rsidRDefault="00550C8F" w:rsidP="00550C8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t xml:space="preserve">Para calcular el </w:t>
      </w:r>
      <m:oMath>
        <m:r>
          <w:rPr>
            <w:rFonts w:ascii="Cambria Math" w:hAnsi="Cambria Math"/>
          </w:rPr>
          <m:t>Ph</m:t>
        </m:r>
      </m:oMath>
      <w:r>
        <w:rPr>
          <w:rFonts w:eastAsiaTheme="minorEastAsia"/>
        </w:rPr>
        <w:t xml:space="preserve"> se consideró el corte </w:t>
      </w:r>
      <w:r w:rsidR="00DB429F">
        <w:rPr>
          <w:rFonts w:eastAsiaTheme="minorEastAsia"/>
        </w:rPr>
        <w:t>de</w:t>
      </w:r>
      <w:r>
        <w:rPr>
          <w:rFonts w:eastAsiaTheme="minorEastAsia"/>
        </w:rPr>
        <w:t xml:space="preserve"> </w:t>
      </w:r>
      <w:r w:rsidRPr="00DB429F">
        <w:rPr>
          <w:rFonts w:eastAsiaTheme="minorEastAsia"/>
          <w:b/>
          <w:highlight w:val="yellow"/>
        </w:rPr>
        <w:t>Noviembre 202</w:t>
      </w:r>
      <w:r w:rsidR="0071176A" w:rsidRPr="00DB429F">
        <w:rPr>
          <w:rFonts w:eastAsiaTheme="minorEastAsia"/>
          <w:b/>
          <w:highlight w:val="yellow"/>
        </w:rPr>
        <w:t>2</w:t>
      </w:r>
      <w:r>
        <w:rPr>
          <w:rFonts w:eastAsiaTheme="minorEastAsia"/>
        </w:rPr>
        <w:t>, tomando como v</w:t>
      </w:r>
      <w:r w:rsidRPr="00F50870">
        <w:t>alor de base comparativa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(v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 xml:space="preserve"> los precios por mt</w:t>
      </w:r>
      <w:r w:rsidRPr="00BB1093"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de los modelos más vendidos en cada </w:t>
      </w:r>
      <w:r w:rsidR="005C7764">
        <w:rPr>
          <w:rFonts w:eastAsiaTheme="minorEastAsia"/>
        </w:rPr>
        <w:t>d</w:t>
      </w:r>
      <w:r>
        <w:rPr>
          <w:rFonts w:eastAsiaTheme="minorEastAsia"/>
        </w:rPr>
        <w:t xml:space="preserve">esarrollo </w:t>
      </w:r>
      <w:r w:rsidR="005C7764">
        <w:rPr>
          <w:rFonts w:eastAsiaTheme="minorEastAsia"/>
        </w:rPr>
        <w:t>considerado para el estudio</w:t>
      </w:r>
      <w:r>
        <w:rPr>
          <w:rFonts w:eastAsiaTheme="minorEastAsia"/>
        </w:rPr>
        <w:t>.</w:t>
      </w:r>
    </w:p>
    <w:p w14:paraId="6249B8FD" w14:textId="77777777" w:rsidR="00550C8F" w:rsidRDefault="00550C8F" w:rsidP="00550C8F">
      <w:pPr>
        <w:spacing w:after="0" w:line="240" w:lineRule="auto"/>
        <w:jc w:val="both"/>
        <w:rPr>
          <w:rFonts w:eastAsiaTheme="minorEastAsia"/>
          <w:b/>
        </w:rPr>
      </w:pPr>
    </w:p>
    <w:p w14:paraId="414AA963" w14:textId="77777777" w:rsidR="00550C8F" w:rsidRDefault="00550C8F" w:rsidP="00550C8F">
      <w:pPr>
        <w:pStyle w:val="Prrafodelista"/>
        <w:spacing w:after="0" w:line="240" w:lineRule="auto"/>
        <w:ind w:left="360"/>
        <w:jc w:val="both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1134"/>
      </w:tblGrid>
      <w:tr w:rsidR="00550C8F" w:rsidRPr="007E2A46" w14:paraId="2F02B6BA" w14:textId="77777777" w:rsidTr="00550C8F">
        <w:trPr>
          <w:trHeight w:val="375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68510EE2" w14:textId="77777777" w:rsidR="00550C8F" w:rsidRPr="00F47EB2" w:rsidRDefault="00550C8F" w:rsidP="00550C8F">
            <w:pPr>
              <w:jc w:val="center"/>
              <w:rPr>
                <w:b/>
              </w:rPr>
            </w:pPr>
            <w:r>
              <w:rPr>
                <w:b/>
              </w:rPr>
              <w:t>Desarrollo Vertical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8B4DEBA" w14:textId="77777777" w:rsidR="00550C8F" w:rsidRPr="00F47EB2" w:rsidRDefault="00550C8F" w:rsidP="00550C8F">
            <w:pPr>
              <w:jc w:val="center"/>
              <w:rPr>
                <w:b/>
              </w:rPr>
            </w:pPr>
            <w:r w:rsidRPr="00F47EB2">
              <w:rPr>
                <w:b/>
              </w:rPr>
              <w:t>Precio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DD14B42" w14:textId="77777777" w:rsidR="00550C8F" w:rsidRPr="00F47EB2" w:rsidRDefault="00550C8F" w:rsidP="00550C8F">
            <w:pPr>
              <w:jc w:val="center"/>
              <w:rPr>
                <w:b/>
              </w:rPr>
            </w:pPr>
            <w:r>
              <w:rPr>
                <w:b/>
              </w:rPr>
              <w:t>Tamaño mt</w:t>
            </w:r>
            <w:r w:rsidRPr="00F47EB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140D39C" w14:textId="77777777" w:rsidR="00550C8F" w:rsidRPr="00F47EB2" w:rsidRDefault="00550C8F" w:rsidP="00550C8F">
            <w:pPr>
              <w:jc w:val="center"/>
              <w:rPr>
                <w:b/>
              </w:rPr>
            </w:pPr>
            <w:r w:rsidRPr="00F47EB2">
              <w:rPr>
                <w:b/>
              </w:rPr>
              <w:t>Precio mt</w:t>
            </w:r>
            <w:r w:rsidRPr="00F47EB2">
              <w:rPr>
                <w:b/>
                <w:vertAlign w:val="superscript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</w:p>
        </w:tc>
      </w:tr>
      <w:tr w:rsidR="005C7764" w:rsidRPr="007E2A46" w14:paraId="48D93AC4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8DA1C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Mistiq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42FAA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413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5387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186.8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3E35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211</w:t>
            </w:r>
          </w:p>
        </w:tc>
      </w:tr>
      <w:tr w:rsidR="005C7764" w:rsidRPr="007E2A46" w14:paraId="555FC61A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3DEE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Vista Velas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AD4E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934A5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7755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456</w:t>
            </w:r>
          </w:p>
        </w:tc>
      </w:tr>
      <w:tr w:rsidR="005C7764" w:rsidRPr="007E2A46" w14:paraId="3239B9DA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FC58F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Tramonti Paradiso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F14A" w14:textId="77777777" w:rsidR="005C7764" w:rsidRDefault="00C01711" w:rsidP="00C0171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84C4" w14:textId="77777777" w:rsidR="005C7764" w:rsidRDefault="005C7764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121.7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27B9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631</w:t>
            </w:r>
          </w:p>
        </w:tc>
      </w:tr>
      <w:tr w:rsidR="005C7764" w:rsidRPr="007E2A46" w14:paraId="14717D3F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AB45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Lumaria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766B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C68D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0DB3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458</w:t>
            </w:r>
          </w:p>
        </w:tc>
      </w:tr>
      <w:tr w:rsidR="005C7764" w:rsidRPr="007E2A46" w14:paraId="68ABD656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E9EF8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7C10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825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6833" w14:textId="77777777" w:rsidR="005C7764" w:rsidRDefault="005C7764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4610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644</w:t>
            </w:r>
          </w:p>
        </w:tc>
      </w:tr>
      <w:tr w:rsidR="005C7764" w:rsidRPr="007E2A46" w14:paraId="6480D56A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8B45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Colorado Hills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8A5D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09BF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B6E1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721</w:t>
            </w:r>
          </w:p>
        </w:tc>
      </w:tr>
      <w:tr w:rsidR="005C7764" w:rsidRPr="007E2A46" w14:paraId="25C12CC6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3121" w14:textId="77777777" w:rsidR="005C7764" w:rsidRDefault="005C7764" w:rsidP="005C776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Ladera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8EDD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267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27FE2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0BDF" w14:textId="77777777" w:rsidR="005C7764" w:rsidRDefault="00C01711" w:rsidP="005C7764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136</w:t>
            </w:r>
          </w:p>
        </w:tc>
      </w:tr>
      <w:tr w:rsidR="00C01711" w:rsidRPr="007E2A46" w14:paraId="0A85C889" w14:textId="77777777" w:rsidTr="00037556">
        <w:trPr>
          <w:trHeight w:val="3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7EDF7BB2" w14:textId="77777777" w:rsidR="00C01711" w:rsidRPr="00F47EB2" w:rsidRDefault="00C01711" w:rsidP="00C01711">
            <w:pPr>
              <w:jc w:val="center"/>
              <w:rPr>
                <w:b/>
              </w:rPr>
            </w:pPr>
            <w:r w:rsidRPr="004E1602">
              <w:rPr>
                <w:b/>
              </w:rPr>
              <w:t>Promedio</w:t>
            </w:r>
          </w:p>
        </w:tc>
        <w:tc>
          <w:tcPr>
            <w:tcW w:w="1559" w:type="dxa"/>
          </w:tcPr>
          <w:p w14:paraId="5E995EB6" w14:textId="77777777" w:rsidR="00C01711" w:rsidRPr="00C01711" w:rsidRDefault="00C01711" w:rsidP="00C01711">
            <w:pPr>
              <w:jc w:val="right"/>
              <w:rPr>
                <w:b/>
              </w:rPr>
            </w:pPr>
            <w:r w:rsidRPr="00C01711">
              <w:rPr>
                <w:b/>
              </w:rPr>
              <w:t>440,099</w:t>
            </w:r>
          </w:p>
        </w:tc>
        <w:tc>
          <w:tcPr>
            <w:tcW w:w="1134" w:type="dxa"/>
          </w:tcPr>
          <w:p w14:paraId="3CD3607B" w14:textId="77777777" w:rsidR="00C01711" w:rsidRPr="00C01711" w:rsidRDefault="00C01711" w:rsidP="00C01711">
            <w:pPr>
              <w:jc w:val="right"/>
              <w:rPr>
                <w:b/>
              </w:rPr>
            </w:pPr>
            <w:r w:rsidRPr="00C01711">
              <w:rPr>
                <w:b/>
              </w:rPr>
              <w:t>161</w:t>
            </w:r>
          </w:p>
        </w:tc>
        <w:tc>
          <w:tcPr>
            <w:tcW w:w="1134" w:type="dxa"/>
          </w:tcPr>
          <w:p w14:paraId="14292BE6" w14:textId="77777777" w:rsidR="00C01711" w:rsidRPr="00C01711" w:rsidRDefault="00C01711" w:rsidP="00C01711">
            <w:pPr>
              <w:jc w:val="right"/>
              <w:rPr>
                <w:b/>
              </w:rPr>
            </w:pPr>
            <w:r w:rsidRPr="00C01711">
              <w:rPr>
                <w:b/>
              </w:rPr>
              <w:t>2,751</w:t>
            </w:r>
          </w:p>
        </w:tc>
      </w:tr>
    </w:tbl>
    <w:p w14:paraId="496AE92A" w14:textId="77777777" w:rsidR="00550C8F" w:rsidRDefault="00550C8F" w:rsidP="00550C8F">
      <w:pPr>
        <w:pStyle w:val="Prrafodelista"/>
        <w:spacing w:after="0" w:line="240" w:lineRule="auto"/>
        <w:ind w:left="360"/>
        <w:jc w:val="both"/>
      </w:pPr>
    </w:p>
    <w:p w14:paraId="257FCF58" w14:textId="77777777" w:rsidR="00550C8F" w:rsidRPr="003157BB" w:rsidRDefault="00550C8F" w:rsidP="00550C8F">
      <w:pPr>
        <w:spacing w:after="0" w:line="240" w:lineRule="auto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Ph=</m:t>
          </m:r>
          <m:r>
            <m:rPr>
              <m:sty m:val="bi"/>
            </m:rPr>
            <w:rPr>
              <w:rFonts w:ascii="Cambria Math" w:hAnsi="Cambria Math"/>
            </w:rPr>
            <m:t>2,751</m:t>
          </m:r>
        </m:oMath>
      </m:oMathPara>
    </w:p>
    <w:p w14:paraId="334229B4" w14:textId="77777777" w:rsidR="00550C8F" w:rsidRDefault="00550C8F" w:rsidP="00550C8F">
      <w:pPr>
        <w:spacing w:after="0" w:line="240" w:lineRule="auto"/>
        <w:jc w:val="both"/>
        <w:rPr>
          <w:rFonts w:eastAsiaTheme="minorEastAsia"/>
          <w:b/>
        </w:rPr>
      </w:pPr>
    </w:p>
    <w:p w14:paraId="0C46A3DA" w14:textId="77777777" w:rsidR="00FD59C0" w:rsidRDefault="00FD59C0" w:rsidP="00FD59C0">
      <w:pPr>
        <w:pStyle w:val="Prrafodelista"/>
        <w:spacing w:after="0" w:line="240" w:lineRule="auto"/>
        <w:ind w:left="360"/>
        <w:jc w:val="both"/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1134"/>
      </w:tblGrid>
      <w:tr w:rsidR="00FD59C0" w:rsidRPr="007E2A46" w14:paraId="7092C125" w14:textId="77777777" w:rsidTr="00CD7543">
        <w:trPr>
          <w:trHeight w:val="375"/>
          <w:jc w:val="center"/>
        </w:trPr>
        <w:tc>
          <w:tcPr>
            <w:tcW w:w="2689" w:type="dxa"/>
            <w:shd w:val="clear" w:color="auto" w:fill="BFBFBF" w:themeFill="background1" w:themeFillShade="BF"/>
            <w:noWrap/>
            <w:vAlign w:val="center"/>
            <w:hideMark/>
          </w:tcPr>
          <w:p w14:paraId="0D08A449" w14:textId="77777777" w:rsidR="00FD59C0" w:rsidRPr="00F47EB2" w:rsidRDefault="00FD59C0" w:rsidP="00CD7543">
            <w:pPr>
              <w:jc w:val="center"/>
              <w:rPr>
                <w:b/>
              </w:rPr>
            </w:pPr>
            <w:r>
              <w:rPr>
                <w:b/>
              </w:rPr>
              <w:t>Desarrollo Horizontal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F933FF1" w14:textId="77777777" w:rsidR="00FD59C0" w:rsidRPr="00F47EB2" w:rsidRDefault="00FD59C0" w:rsidP="00CD7543">
            <w:pPr>
              <w:jc w:val="center"/>
              <w:rPr>
                <w:b/>
              </w:rPr>
            </w:pPr>
            <w:r w:rsidRPr="00F47EB2">
              <w:rPr>
                <w:b/>
              </w:rPr>
              <w:t>Precio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F08B599" w14:textId="77777777" w:rsidR="00FD59C0" w:rsidRPr="00F47EB2" w:rsidRDefault="00FD59C0" w:rsidP="00CD7543">
            <w:pPr>
              <w:jc w:val="center"/>
              <w:rPr>
                <w:b/>
              </w:rPr>
            </w:pPr>
            <w:r>
              <w:rPr>
                <w:b/>
              </w:rPr>
              <w:t>Tamaño mt</w:t>
            </w:r>
            <w:r w:rsidRPr="00F47EB2">
              <w:rPr>
                <w:b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2B9F80" w14:textId="77777777" w:rsidR="00FD59C0" w:rsidRPr="00F47EB2" w:rsidRDefault="00FD59C0" w:rsidP="00CD7543">
            <w:pPr>
              <w:jc w:val="center"/>
              <w:rPr>
                <w:b/>
              </w:rPr>
            </w:pPr>
            <w:r w:rsidRPr="00F47EB2">
              <w:rPr>
                <w:b/>
              </w:rPr>
              <w:t>Precio mt</w:t>
            </w:r>
            <w:r w:rsidRPr="00F47EB2">
              <w:rPr>
                <w:b/>
                <w:vertAlign w:val="superscript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</w:p>
        </w:tc>
      </w:tr>
      <w:tr w:rsidR="00FD59C0" w:rsidRPr="007E2A46" w14:paraId="3F02ED6B" w14:textId="77777777" w:rsidTr="00CD7543">
        <w:trPr>
          <w:trHeight w:val="375"/>
          <w:jc w:val="center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8ABDE" w14:textId="77777777" w:rsidR="00FD59C0" w:rsidRDefault="00FD59C0" w:rsidP="00CD75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Ladera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B62E33" w14:textId="77777777" w:rsidR="00FD59C0" w:rsidRDefault="00FD59C0" w:rsidP="00CD75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4175077" w14:textId="77777777" w:rsidR="00FD59C0" w:rsidRDefault="00FD59C0" w:rsidP="00CD75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76BB79" w14:textId="77777777" w:rsidR="00FD59C0" w:rsidRDefault="00FD59C0" w:rsidP="00CD754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EA6F9E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951</w:t>
            </w:r>
          </w:p>
        </w:tc>
      </w:tr>
      <w:tr w:rsidR="00FD59C0" w:rsidRPr="007E2A46" w14:paraId="20204997" w14:textId="77777777" w:rsidTr="00CD7543">
        <w:trPr>
          <w:trHeight w:val="37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6E5B0141" w14:textId="77777777" w:rsidR="00FD59C0" w:rsidRPr="00F47EB2" w:rsidRDefault="00FD59C0" w:rsidP="00CD7543">
            <w:pPr>
              <w:jc w:val="center"/>
              <w:rPr>
                <w:b/>
              </w:rPr>
            </w:pPr>
            <w:r w:rsidRPr="004E1602">
              <w:rPr>
                <w:b/>
              </w:rPr>
              <w:t>Promedio</w:t>
            </w:r>
          </w:p>
        </w:tc>
        <w:tc>
          <w:tcPr>
            <w:tcW w:w="1559" w:type="dxa"/>
            <w:vAlign w:val="center"/>
          </w:tcPr>
          <w:p w14:paraId="344BFD38" w14:textId="77777777" w:rsidR="00FD59C0" w:rsidRDefault="00FD59C0" w:rsidP="00CD7543">
            <w:pPr>
              <w:jc w:val="right"/>
              <w:rPr>
                <w:b/>
              </w:rPr>
            </w:pPr>
            <w:r>
              <w:rPr>
                <w:b/>
              </w:rPr>
              <w:t>720,00</w:t>
            </w:r>
            <w:r w:rsidR="00DB429F">
              <w:rPr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14:paraId="623E28AE" w14:textId="77777777" w:rsidR="00FD59C0" w:rsidRDefault="00FD59C0" w:rsidP="00CD7543">
            <w:pPr>
              <w:jc w:val="right"/>
              <w:rPr>
                <w:b/>
              </w:rPr>
            </w:pPr>
            <w:r>
              <w:rPr>
                <w:b/>
              </w:rPr>
              <w:t>369</w:t>
            </w:r>
          </w:p>
        </w:tc>
        <w:tc>
          <w:tcPr>
            <w:tcW w:w="1134" w:type="dxa"/>
            <w:vAlign w:val="center"/>
          </w:tcPr>
          <w:p w14:paraId="05AB852A" w14:textId="77777777" w:rsidR="00FD59C0" w:rsidRDefault="00FD59C0" w:rsidP="00CD7543">
            <w:pPr>
              <w:jc w:val="right"/>
              <w:rPr>
                <w:b/>
              </w:rPr>
            </w:pPr>
            <w:r>
              <w:rPr>
                <w:b/>
              </w:rPr>
              <w:t>1,951</w:t>
            </w:r>
          </w:p>
        </w:tc>
      </w:tr>
    </w:tbl>
    <w:p w14:paraId="11B3FB94" w14:textId="77777777" w:rsidR="00FD59C0" w:rsidRDefault="00FD59C0" w:rsidP="00FD59C0">
      <w:pPr>
        <w:pStyle w:val="Prrafodelista"/>
        <w:spacing w:after="0" w:line="240" w:lineRule="auto"/>
        <w:ind w:left="360"/>
        <w:jc w:val="both"/>
      </w:pPr>
    </w:p>
    <w:p w14:paraId="40C70873" w14:textId="77777777" w:rsidR="00FD59C0" w:rsidRPr="003157BB" w:rsidRDefault="00FD59C0" w:rsidP="00FD59C0">
      <w:pPr>
        <w:spacing w:after="0" w:line="240" w:lineRule="auto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Ph=</m:t>
          </m:r>
          <m:r>
            <m:rPr>
              <m:sty m:val="bi"/>
            </m:rPr>
            <w:rPr>
              <w:rFonts w:ascii="Cambria Math" w:hAnsi="Cambria Math"/>
            </w:rPr>
            <m:t>1,951</m:t>
          </m:r>
        </m:oMath>
      </m:oMathPara>
    </w:p>
    <w:p w14:paraId="2E9BF9A6" w14:textId="77777777" w:rsidR="00550C8F" w:rsidRDefault="00550C8F" w:rsidP="00550C8F">
      <w:pPr>
        <w:spacing w:after="0" w:line="240" w:lineRule="auto"/>
        <w:jc w:val="both"/>
        <w:rPr>
          <w:rFonts w:eastAsiaTheme="minorEastAsia"/>
          <w:b/>
        </w:rPr>
      </w:pPr>
    </w:p>
    <w:p w14:paraId="30C50EED" w14:textId="77777777" w:rsidR="00550C8F" w:rsidRDefault="00550C8F" w:rsidP="00550C8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Para el valor de   </w:t>
      </w:r>
      <m:oMath>
        <m:r>
          <w:rPr>
            <w:rFonts w:ascii="Cambria Math" w:hAnsi="Cambria Math"/>
          </w:rPr>
          <m:t>Ia</m:t>
        </m:r>
      </m:oMath>
      <w:r>
        <w:t xml:space="preserve">  se utilizó el porcentaje de la última variación anual en el índice de precios de la vivienda por zona metropolitana, entidad federativa y municipio seleccionado, con el cual se puede estimar el aumento o disminución del precio del tipo de </w:t>
      </w:r>
      <w:r w:rsidR="00DB429F">
        <w:t xml:space="preserve">vivienda </w:t>
      </w:r>
      <w:r>
        <w:t xml:space="preserve">ubicada en la Zona </w:t>
      </w:r>
      <w:r w:rsidR="00DB429F">
        <w:t xml:space="preserve">de </w:t>
      </w:r>
      <w:r>
        <w:t>Estudio (</w:t>
      </w:r>
      <w:r w:rsidR="005C7764">
        <w:rPr>
          <w:b/>
        </w:rPr>
        <w:t>Los Cabos</w:t>
      </w:r>
      <w:r>
        <w:t xml:space="preserve">). Este valor se estimó a partir de los datos abiertos del Índice SHF </w:t>
      </w:r>
      <w:r w:rsidRPr="00733EA4">
        <w:t>(Sociedad Hipotecaria Federal)</w:t>
      </w:r>
      <w:r>
        <w:t xml:space="preserve"> </w:t>
      </w:r>
      <w:r w:rsidR="00DB429F">
        <w:t xml:space="preserve">entre </w:t>
      </w:r>
      <w:r>
        <w:t xml:space="preserve">el periodo del </w:t>
      </w:r>
      <w:r w:rsidR="005C7764">
        <w:t>3</w:t>
      </w:r>
      <w:r>
        <w:t>er trimestre de 2022</w:t>
      </w:r>
      <w:r w:rsidR="00DB429F">
        <w:t xml:space="preserve"> a </w:t>
      </w:r>
      <w:r>
        <w:t>2023.</w:t>
      </w:r>
    </w:p>
    <w:p w14:paraId="12DA67BA" w14:textId="77777777" w:rsidR="005C7764" w:rsidRDefault="005C7764" w:rsidP="005C7764">
      <w:pPr>
        <w:pStyle w:val="Prrafodelista"/>
        <w:spacing w:after="0" w:line="240" w:lineRule="auto"/>
        <w:ind w:left="360"/>
        <w:jc w:val="both"/>
      </w:pPr>
    </w:p>
    <w:p w14:paraId="5FCA04F0" w14:textId="77777777" w:rsidR="005C7764" w:rsidRDefault="00880E60" w:rsidP="005C7764">
      <w:pPr>
        <w:pStyle w:val="Prrafodelista"/>
        <w:spacing w:after="0" w:line="240" w:lineRule="auto"/>
        <w:ind w:left="360"/>
        <w:jc w:val="both"/>
      </w:pPr>
      <w:hyperlink r:id="rId6" w:history="1">
        <w:r w:rsidR="005C7764" w:rsidRPr="003C3CC3">
          <w:rPr>
            <w:rStyle w:val="Hipervnculo"/>
          </w:rPr>
          <w:t>https://shfonline.sharepoint.com/:x:/s/DocumentosSitiosPublicosSHF/EbUGAkYeNZ5IhbVnNEh-Ti0BxqAXNzgCFtrCB9dv6eT7BQ?e=TEQFIu</w:t>
        </w:r>
      </w:hyperlink>
    </w:p>
    <w:p w14:paraId="642C5822" w14:textId="77777777" w:rsidR="005C7764" w:rsidRDefault="005C7764" w:rsidP="005C7764">
      <w:pPr>
        <w:pStyle w:val="Prrafodelista"/>
        <w:spacing w:after="0" w:line="240" w:lineRule="auto"/>
        <w:ind w:left="360"/>
        <w:jc w:val="both"/>
      </w:pPr>
    </w:p>
    <w:p w14:paraId="143DEE3D" w14:textId="77777777" w:rsidR="005C7764" w:rsidRDefault="005C7764" w:rsidP="005C7764">
      <w:pPr>
        <w:spacing w:after="0" w:line="240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61"/>
        <w:gridCol w:w="1100"/>
        <w:gridCol w:w="1289"/>
        <w:gridCol w:w="830"/>
      </w:tblGrid>
      <w:tr w:rsidR="00550C8F" w:rsidRPr="0038253A" w14:paraId="7689DD50" w14:textId="77777777" w:rsidTr="00550C8F">
        <w:trPr>
          <w:trHeight w:val="30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6E9647E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94262">
              <w:rPr>
                <w:rFonts w:ascii="Calibri" w:eastAsia="Times New Roman" w:hAnsi="Calibri" w:cs="Calibri"/>
                <w:b/>
                <w:color w:val="000000"/>
              </w:rPr>
              <w:t>Municipio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2C0F071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94262">
              <w:rPr>
                <w:rFonts w:ascii="Calibri" w:eastAsia="Times New Roman" w:hAnsi="Calibri" w:cs="Calibri"/>
                <w:b/>
                <w:color w:val="000000"/>
              </w:rPr>
              <w:t>Trim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estre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D50182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94262">
              <w:rPr>
                <w:rFonts w:ascii="Calibri" w:eastAsia="Times New Roman" w:hAnsi="Calibri" w:cs="Calibri"/>
                <w:b/>
                <w:color w:val="000000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CA7A5A0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194262">
              <w:rPr>
                <w:rFonts w:ascii="Calibri" w:eastAsia="Times New Roman" w:hAnsi="Calibri" w:cs="Calibri"/>
                <w:b/>
                <w:color w:val="000000"/>
              </w:rPr>
              <w:t>Índice</w:t>
            </w:r>
          </w:p>
        </w:tc>
      </w:tr>
      <w:tr w:rsidR="00550C8F" w:rsidRPr="0038253A" w14:paraId="4B8DF278" w14:textId="77777777" w:rsidTr="00550C8F">
        <w:trPr>
          <w:trHeight w:val="30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F60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Los Cabos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FC59" w14:textId="77777777" w:rsidR="00550C8F" w:rsidRPr="00194262" w:rsidRDefault="005C7764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BE31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4262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5229" w14:textId="77777777" w:rsidR="00550C8F" w:rsidRPr="00194262" w:rsidRDefault="00550C8F" w:rsidP="005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5C7764">
              <w:rPr>
                <w:rFonts w:ascii="Calibri" w:eastAsia="Times New Roman" w:hAnsi="Calibri" w:cs="Calibri"/>
                <w:color w:val="000000"/>
              </w:rPr>
              <w:t>70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5C776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550C8F" w:rsidRPr="0038253A" w14:paraId="21506DF1" w14:textId="77777777" w:rsidTr="00550C8F">
        <w:trPr>
          <w:trHeight w:val="300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DF0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Los Cabos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5995" w14:textId="77777777" w:rsidR="00550C8F" w:rsidRPr="00194262" w:rsidRDefault="005C7764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838" w14:textId="77777777" w:rsidR="00550C8F" w:rsidRPr="00194262" w:rsidRDefault="00550C8F" w:rsidP="00550C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94262">
              <w:rPr>
                <w:rFonts w:ascii="Calibri" w:eastAsia="Times New Roman" w:hAnsi="Calibri" w:cs="Calibri"/>
                <w:color w:val="000000"/>
              </w:rPr>
              <w:t>20</w:t>
            </w: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6CB6" w14:textId="77777777" w:rsidR="00550C8F" w:rsidRPr="00194262" w:rsidRDefault="00550C8F" w:rsidP="005C77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5C7764">
              <w:rPr>
                <w:rFonts w:ascii="Calibri" w:eastAsia="Times New Roman" w:hAnsi="Calibri" w:cs="Calibri"/>
                <w:color w:val="000000"/>
              </w:rPr>
              <w:t>98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  <w:r w:rsidR="005C7764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</w:tr>
      <w:tr w:rsidR="00550C8F" w:rsidRPr="0038253A" w14:paraId="4DADBC5E" w14:textId="77777777" w:rsidTr="00550C8F">
        <w:trPr>
          <w:trHeight w:val="288"/>
          <w:jc w:val="center"/>
        </w:trPr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8A4" w14:textId="77777777" w:rsidR="00550C8F" w:rsidRPr="0038253A" w:rsidRDefault="00550C8F" w:rsidP="00550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8253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E700" w14:textId="77777777" w:rsidR="00550C8F" w:rsidRPr="0038253A" w:rsidRDefault="00550C8F" w:rsidP="00550C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38253A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310A00D" w14:textId="77777777" w:rsidR="00550C8F" w:rsidRPr="00702115" w:rsidRDefault="00550C8F" w:rsidP="00550C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702115">
              <w:rPr>
                <w:rFonts w:ascii="Calibri" w:eastAsia="Times New Roman" w:hAnsi="Calibri" w:cs="Calibri"/>
                <w:b/>
                <w:color w:val="000000"/>
              </w:rPr>
              <w:t>% Variación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DD47" w14:textId="77777777" w:rsidR="00550C8F" w:rsidRPr="00702115" w:rsidRDefault="00550C8F" w:rsidP="005C77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702115">
              <w:rPr>
                <w:rFonts w:ascii="Calibri" w:eastAsia="Times New Roman" w:hAnsi="Calibri" w:cs="Calibri"/>
                <w:b/>
                <w:color w:val="000000"/>
              </w:rPr>
              <w:t>1</w:t>
            </w:r>
            <w:r w:rsidR="005C7764">
              <w:rPr>
                <w:rFonts w:ascii="Calibri" w:eastAsia="Times New Roman" w:hAnsi="Calibri" w:cs="Calibri"/>
                <w:b/>
                <w:color w:val="000000"/>
              </w:rPr>
              <w:t>4</w:t>
            </w:r>
            <w:r w:rsidRPr="00702115">
              <w:rPr>
                <w:rFonts w:ascii="Calibri" w:eastAsia="Times New Roman" w:hAnsi="Calibri" w:cs="Calibri"/>
                <w:b/>
                <w:color w:val="000000"/>
              </w:rPr>
              <w:t>.</w:t>
            </w:r>
            <w:r w:rsidR="005C7764">
              <w:rPr>
                <w:rFonts w:ascii="Calibri" w:eastAsia="Times New Roman" w:hAnsi="Calibri" w:cs="Calibri"/>
                <w:b/>
                <w:color w:val="000000"/>
              </w:rPr>
              <w:t>5</w:t>
            </w:r>
          </w:p>
        </w:tc>
      </w:tr>
    </w:tbl>
    <w:p w14:paraId="1D20383E" w14:textId="77777777" w:rsidR="00550C8F" w:rsidRPr="002D176F" w:rsidRDefault="00550C8F" w:rsidP="00550C8F">
      <w:pPr>
        <w:spacing w:after="0" w:line="240" w:lineRule="auto"/>
        <w:jc w:val="both"/>
        <w:rPr>
          <w:rFonts w:eastAsiaTheme="minorEastAsia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  <w:highlight w:val="yellow"/>
            </w:rPr>
            <m:t>Ia=</m:t>
          </m:r>
          <m:r>
            <m:rPr>
              <m:sty m:val="bi"/>
            </m:rPr>
            <w:rPr>
              <w:rFonts w:ascii="Cambria Math" w:hAnsi="Cambria Math"/>
              <w:highlight w:val="yellow"/>
            </w:rPr>
            <m:t>14.</m:t>
          </m:r>
          <m:r>
            <m:rPr>
              <m:sty m:val="bi"/>
            </m:rPr>
            <w:rPr>
              <w:rFonts w:ascii="Cambria Math" w:hAnsi="Cambria Math"/>
            </w:rPr>
            <m:t>5</m:t>
          </m:r>
        </m:oMath>
      </m:oMathPara>
    </w:p>
    <w:p w14:paraId="781A710C" w14:textId="77777777" w:rsidR="00550C8F" w:rsidRPr="00C01711" w:rsidRDefault="00550C8F" w:rsidP="00550C8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lastRenderedPageBreak/>
        <w:t xml:space="preserve">Para estimar el valor 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cj</m:t>
            </m:r>
          </m:sub>
        </m:sSub>
      </m:oMath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4"/>
          <w:szCs w:val="24"/>
        </w:rPr>
        <w:t>se calcularon las cambios de precios para bases comparativas consecutivas en el tiempo representativas del mercado,  dentro del periodo estudiado (</w:t>
      </w:r>
      <w:r w:rsidR="00C01711">
        <w:rPr>
          <w:rFonts w:eastAsiaTheme="minorEastAsia"/>
          <w:sz w:val="24"/>
          <w:szCs w:val="24"/>
        </w:rPr>
        <w:t>Noviembre</w:t>
      </w:r>
      <w:r>
        <w:rPr>
          <w:rFonts w:eastAsiaTheme="minorEastAsia"/>
          <w:sz w:val="24"/>
          <w:szCs w:val="24"/>
        </w:rPr>
        <w:t xml:space="preserve"> 2022 – </w:t>
      </w:r>
      <w:r w:rsidR="00C01711">
        <w:rPr>
          <w:rFonts w:eastAsiaTheme="minorEastAsia"/>
          <w:sz w:val="24"/>
          <w:szCs w:val="24"/>
        </w:rPr>
        <w:t xml:space="preserve">Noviembre </w:t>
      </w:r>
      <w:r>
        <w:rPr>
          <w:rFonts w:eastAsiaTheme="minorEastAsia"/>
          <w:sz w:val="24"/>
          <w:szCs w:val="24"/>
        </w:rPr>
        <w:t>202</w:t>
      </w:r>
      <w:r w:rsidR="00C01711">
        <w:rPr>
          <w:rFonts w:eastAsiaTheme="minor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 xml:space="preserve">) </w:t>
      </w:r>
    </w:p>
    <w:p w14:paraId="296FC0FD" w14:textId="77777777" w:rsidR="00C01711" w:rsidRDefault="00C01711" w:rsidP="00C01711">
      <w:pPr>
        <w:pStyle w:val="Prrafodelista"/>
        <w:spacing w:after="0" w:line="240" w:lineRule="auto"/>
        <w:ind w:left="360"/>
        <w:jc w:val="both"/>
        <w:rPr>
          <w:rFonts w:eastAsiaTheme="minorEastAsia"/>
          <w:sz w:val="24"/>
          <w:szCs w:val="24"/>
        </w:rPr>
      </w:pPr>
    </w:p>
    <w:p w14:paraId="3F4B657B" w14:textId="77777777" w:rsidR="00C01711" w:rsidRDefault="00C01711" w:rsidP="00550C8F">
      <w:pPr>
        <w:spacing w:after="0" w:line="240" w:lineRule="auto"/>
        <w:jc w:val="both"/>
      </w:pPr>
    </w:p>
    <w:p w14:paraId="4A80E2AB" w14:textId="77777777" w:rsidR="00C01711" w:rsidRPr="00C01711" w:rsidRDefault="00C01711" w:rsidP="00550C8F">
      <w:pPr>
        <w:spacing w:after="0" w:line="240" w:lineRule="auto"/>
        <w:jc w:val="both"/>
        <w:rPr>
          <w:b/>
        </w:rPr>
      </w:pPr>
      <w:r w:rsidRPr="00C01711">
        <w:rPr>
          <w:b/>
        </w:rPr>
        <w:t xml:space="preserve"> Vertical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"/>
        <w:gridCol w:w="1337"/>
        <w:gridCol w:w="1639"/>
      </w:tblGrid>
      <w:tr w:rsidR="00C01711" w:rsidRPr="007E2A46" w14:paraId="762457A0" w14:textId="77777777" w:rsidTr="00037556">
        <w:trPr>
          <w:trHeight w:val="524"/>
        </w:trPr>
        <w:tc>
          <w:tcPr>
            <w:tcW w:w="993" w:type="dxa"/>
            <w:shd w:val="clear" w:color="auto" w:fill="BFBFBF" w:themeFill="background1" w:themeFillShade="BF"/>
            <w:noWrap/>
            <w:vAlign w:val="center"/>
            <w:hideMark/>
          </w:tcPr>
          <w:p w14:paraId="4D84A2CC" w14:textId="77777777" w:rsidR="00C01711" w:rsidRPr="00D46C62" w:rsidRDefault="00C01711" w:rsidP="00037556">
            <w:pPr>
              <w:rPr>
                <w:b/>
              </w:rPr>
            </w:pPr>
            <w:r w:rsidRPr="00D46C62">
              <w:rPr>
                <w:b/>
              </w:rPr>
              <w:t>Periodo</w:t>
            </w:r>
          </w:p>
        </w:tc>
        <w:tc>
          <w:tcPr>
            <w:tcW w:w="1337" w:type="dxa"/>
            <w:shd w:val="clear" w:color="auto" w:fill="BFBFBF" w:themeFill="background1" w:themeFillShade="BF"/>
            <w:noWrap/>
            <w:vAlign w:val="center"/>
            <w:hideMark/>
          </w:tcPr>
          <w:p w14:paraId="74663C6E" w14:textId="77777777" w:rsidR="00C01711" w:rsidRPr="007E2A46" w:rsidRDefault="00C01711" w:rsidP="00037556">
            <w:pPr>
              <w:pStyle w:val="Prrafodelista"/>
              <w:ind w:left="360"/>
            </w:pPr>
            <w:r w:rsidRPr="001958ED">
              <w:rPr>
                <w:b/>
              </w:rPr>
              <w:t>Precio mt</w:t>
            </w:r>
            <w:r w:rsidRPr="001958ED">
              <w:rPr>
                <w:b/>
                <w:vertAlign w:val="superscript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14:paraId="11293D60" w14:textId="77777777" w:rsidR="00C01711" w:rsidRPr="001958ED" w:rsidRDefault="00C01711" w:rsidP="00037556">
            <w:pPr>
              <w:pStyle w:val="Prrafodelista"/>
              <w:ind w:left="360"/>
              <w:rPr>
                <w:b/>
              </w:rPr>
            </w:pPr>
            <w:r>
              <w:rPr>
                <w:b/>
              </w:rPr>
              <w:t xml:space="preserve">Cambio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</w:tr>
      <w:tr w:rsidR="00C01711" w:rsidRPr="007E2A46" w14:paraId="71C98474" w14:textId="77777777" w:rsidTr="00037556">
        <w:trPr>
          <w:trHeight w:val="375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428777" w14:textId="77777777" w:rsidR="00C01711" w:rsidRPr="007E2A46" w:rsidRDefault="00C01711" w:rsidP="00037556">
            <w:r>
              <w:t>2022-11</w:t>
            </w:r>
          </w:p>
        </w:tc>
        <w:tc>
          <w:tcPr>
            <w:tcW w:w="1337" w:type="dxa"/>
            <w:noWrap/>
            <w:vAlign w:val="center"/>
            <w:hideMark/>
          </w:tcPr>
          <w:p w14:paraId="7253C143" w14:textId="77777777" w:rsidR="00C01711" w:rsidRPr="001D47E1" w:rsidRDefault="00C11E08" w:rsidP="00037556">
            <w:pPr>
              <w:jc w:val="center"/>
            </w:pPr>
            <w:r>
              <w:t>2,751</w:t>
            </w:r>
          </w:p>
        </w:tc>
        <w:tc>
          <w:tcPr>
            <w:tcW w:w="1639" w:type="dxa"/>
            <w:vAlign w:val="center"/>
          </w:tcPr>
          <w:p w14:paraId="122A09E0" w14:textId="77777777" w:rsidR="00C01711" w:rsidRPr="00981D68" w:rsidRDefault="00C01711" w:rsidP="00037556">
            <w:pPr>
              <w:jc w:val="center"/>
            </w:pPr>
          </w:p>
        </w:tc>
      </w:tr>
      <w:tr w:rsidR="00C01711" w:rsidRPr="007E2A46" w14:paraId="33E4D0E4" w14:textId="77777777" w:rsidTr="00037556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B4B2D" w14:textId="77777777" w:rsidR="00C01711" w:rsidRPr="007E2A46" w:rsidRDefault="00C01711" w:rsidP="00037556">
            <w:r>
              <w:t>2023-11</w:t>
            </w:r>
          </w:p>
        </w:tc>
        <w:tc>
          <w:tcPr>
            <w:tcW w:w="1337" w:type="dxa"/>
            <w:noWrap/>
            <w:vAlign w:val="center"/>
          </w:tcPr>
          <w:p w14:paraId="0FAFF310" w14:textId="77777777" w:rsidR="00C01711" w:rsidRPr="001D47E1" w:rsidRDefault="00C11E08" w:rsidP="00037556">
            <w:pPr>
              <w:jc w:val="center"/>
            </w:pPr>
            <w:r>
              <w:t>2,923</w:t>
            </w:r>
          </w:p>
        </w:tc>
        <w:tc>
          <w:tcPr>
            <w:tcW w:w="1639" w:type="dxa"/>
          </w:tcPr>
          <w:p w14:paraId="6C0C6DFF" w14:textId="77777777" w:rsidR="00C01711" w:rsidRPr="0079477E" w:rsidRDefault="00C11E08" w:rsidP="00037556">
            <w:pPr>
              <w:jc w:val="center"/>
            </w:pPr>
            <w:r>
              <w:t>172</w:t>
            </w:r>
          </w:p>
        </w:tc>
      </w:tr>
    </w:tbl>
    <w:p w14:paraId="6C2E7B0A" w14:textId="77777777" w:rsidR="00C01711" w:rsidRDefault="00C01711" w:rsidP="00550C8F">
      <w:pPr>
        <w:spacing w:after="0" w:line="240" w:lineRule="auto"/>
        <w:jc w:val="both"/>
      </w:pPr>
    </w:p>
    <w:p w14:paraId="4E332206" w14:textId="77777777" w:rsidR="00C01711" w:rsidRDefault="00C01711" w:rsidP="00550C8F">
      <w:pPr>
        <w:spacing w:after="0" w:line="240" w:lineRule="auto"/>
        <w:jc w:val="both"/>
      </w:pPr>
    </w:p>
    <w:p w14:paraId="1AAD0F88" w14:textId="77777777" w:rsidR="00FD59C0" w:rsidRPr="00C01711" w:rsidRDefault="00FD59C0" w:rsidP="00FD59C0">
      <w:pPr>
        <w:spacing w:after="0" w:line="240" w:lineRule="auto"/>
        <w:jc w:val="both"/>
        <w:rPr>
          <w:b/>
        </w:rPr>
      </w:pPr>
      <w:r>
        <w:rPr>
          <w:b/>
        </w:rPr>
        <w:t>Horizontal</w:t>
      </w:r>
    </w:p>
    <w:p w14:paraId="7C399597" w14:textId="77777777" w:rsidR="00FD59C0" w:rsidRDefault="00FD59C0" w:rsidP="00FD59C0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3"/>
        <w:gridCol w:w="1337"/>
        <w:gridCol w:w="1639"/>
      </w:tblGrid>
      <w:tr w:rsidR="00FD59C0" w:rsidRPr="007E2A46" w14:paraId="79788A9F" w14:textId="77777777" w:rsidTr="00CD7543">
        <w:trPr>
          <w:trHeight w:val="524"/>
        </w:trPr>
        <w:tc>
          <w:tcPr>
            <w:tcW w:w="993" w:type="dxa"/>
            <w:shd w:val="clear" w:color="auto" w:fill="BFBFBF" w:themeFill="background1" w:themeFillShade="BF"/>
            <w:noWrap/>
            <w:vAlign w:val="center"/>
            <w:hideMark/>
          </w:tcPr>
          <w:p w14:paraId="482CC31B" w14:textId="77777777" w:rsidR="00FD59C0" w:rsidRPr="00D46C62" w:rsidRDefault="00FD59C0" w:rsidP="00CD7543">
            <w:pPr>
              <w:rPr>
                <w:b/>
              </w:rPr>
            </w:pPr>
            <w:r w:rsidRPr="00D46C62">
              <w:rPr>
                <w:b/>
              </w:rPr>
              <w:t>Periodo</w:t>
            </w:r>
          </w:p>
        </w:tc>
        <w:tc>
          <w:tcPr>
            <w:tcW w:w="1337" w:type="dxa"/>
            <w:shd w:val="clear" w:color="auto" w:fill="BFBFBF" w:themeFill="background1" w:themeFillShade="BF"/>
            <w:noWrap/>
            <w:vAlign w:val="center"/>
            <w:hideMark/>
          </w:tcPr>
          <w:p w14:paraId="7845C962" w14:textId="77777777" w:rsidR="00FD59C0" w:rsidRPr="007E2A46" w:rsidRDefault="00FD59C0" w:rsidP="00CD7543">
            <w:pPr>
              <w:pStyle w:val="Prrafodelista"/>
              <w:ind w:left="360"/>
            </w:pPr>
            <w:r w:rsidRPr="001958ED">
              <w:rPr>
                <w:b/>
              </w:rPr>
              <w:t>Precio mt</w:t>
            </w:r>
            <w:r w:rsidRPr="001958ED">
              <w:rPr>
                <w:b/>
                <w:vertAlign w:val="superscript"/>
              </w:rPr>
              <w:t>2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(v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j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</w:rPr>
                <m:t>)</m:t>
              </m:r>
            </m:oMath>
          </w:p>
        </w:tc>
        <w:tc>
          <w:tcPr>
            <w:tcW w:w="1639" w:type="dxa"/>
            <w:shd w:val="clear" w:color="auto" w:fill="BFBFBF" w:themeFill="background1" w:themeFillShade="BF"/>
            <w:vAlign w:val="center"/>
          </w:tcPr>
          <w:p w14:paraId="284BA7FE" w14:textId="77777777" w:rsidR="00FD59C0" w:rsidRPr="001958ED" w:rsidRDefault="00FD59C0" w:rsidP="00CD7543">
            <w:pPr>
              <w:pStyle w:val="Prrafodelista"/>
              <w:ind w:left="360"/>
              <w:rPr>
                <w:b/>
              </w:rPr>
            </w:pPr>
            <w:r>
              <w:rPr>
                <w:b/>
              </w:rPr>
              <w:t xml:space="preserve">Cambio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(I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cj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</w:p>
        </w:tc>
      </w:tr>
      <w:tr w:rsidR="00FD59C0" w:rsidRPr="007E2A46" w14:paraId="767BC27E" w14:textId="77777777" w:rsidTr="00CD7543">
        <w:trPr>
          <w:trHeight w:val="375"/>
        </w:trPr>
        <w:tc>
          <w:tcPr>
            <w:tcW w:w="99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6ADD51" w14:textId="77777777" w:rsidR="00FD59C0" w:rsidRPr="007E2A46" w:rsidRDefault="00FD59C0" w:rsidP="00CD7543">
            <w:r>
              <w:t>2022-11</w:t>
            </w:r>
          </w:p>
        </w:tc>
        <w:tc>
          <w:tcPr>
            <w:tcW w:w="1337" w:type="dxa"/>
            <w:noWrap/>
            <w:vAlign w:val="center"/>
            <w:hideMark/>
          </w:tcPr>
          <w:p w14:paraId="3EB9211A" w14:textId="77777777" w:rsidR="00FD59C0" w:rsidRPr="001D47E1" w:rsidRDefault="00FD59C0" w:rsidP="00CD7543">
            <w:pPr>
              <w:jc w:val="center"/>
            </w:pPr>
            <w:r>
              <w:t>1,951</w:t>
            </w:r>
          </w:p>
        </w:tc>
        <w:tc>
          <w:tcPr>
            <w:tcW w:w="1639" w:type="dxa"/>
            <w:vAlign w:val="center"/>
          </w:tcPr>
          <w:p w14:paraId="5F37B085" w14:textId="77777777" w:rsidR="00FD59C0" w:rsidRPr="00981D68" w:rsidRDefault="00FD59C0" w:rsidP="00CD7543">
            <w:pPr>
              <w:jc w:val="center"/>
            </w:pPr>
          </w:p>
        </w:tc>
      </w:tr>
      <w:tr w:rsidR="00FD59C0" w:rsidRPr="007E2A46" w14:paraId="0E21D847" w14:textId="77777777" w:rsidTr="00CD7543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565C" w14:textId="77777777" w:rsidR="00FD59C0" w:rsidRPr="007E2A46" w:rsidRDefault="00FD59C0" w:rsidP="00CD7543">
            <w:r>
              <w:t>2023-11</w:t>
            </w:r>
          </w:p>
        </w:tc>
        <w:tc>
          <w:tcPr>
            <w:tcW w:w="1337" w:type="dxa"/>
            <w:noWrap/>
            <w:vAlign w:val="center"/>
          </w:tcPr>
          <w:p w14:paraId="53BAC131" w14:textId="77777777" w:rsidR="00FD59C0" w:rsidRPr="001D47E1" w:rsidRDefault="00FD59C0" w:rsidP="00CD7543">
            <w:pPr>
              <w:jc w:val="center"/>
            </w:pPr>
            <w:r>
              <w:t>2,453</w:t>
            </w:r>
          </w:p>
        </w:tc>
        <w:tc>
          <w:tcPr>
            <w:tcW w:w="1639" w:type="dxa"/>
          </w:tcPr>
          <w:p w14:paraId="3E92505D" w14:textId="77777777" w:rsidR="00FD59C0" w:rsidRPr="0079477E" w:rsidRDefault="00FD59C0" w:rsidP="00CD7543">
            <w:pPr>
              <w:jc w:val="center"/>
            </w:pPr>
            <w:r>
              <w:t>502</w:t>
            </w:r>
          </w:p>
        </w:tc>
      </w:tr>
    </w:tbl>
    <w:p w14:paraId="4372E320" w14:textId="77777777" w:rsidR="00FD59C0" w:rsidRDefault="00FD59C0" w:rsidP="00FD59C0">
      <w:pPr>
        <w:spacing w:after="0" w:line="240" w:lineRule="auto"/>
        <w:jc w:val="both"/>
      </w:pPr>
    </w:p>
    <w:p w14:paraId="29801978" w14:textId="77777777" w:rsidR="00550C8F" w:rsidRDefault="00550C8F" w:rsidP="00550C8F">
      <w:pPr>
        <w:spacing w:after="0" w:line="240" w:lineRule="auto"/>
        <w:jc w:val="both"/>
        <w:rPr>
          <w:rFonts w:eastAsiaTheme="minorEastAsia"/>
        </w:rPr>
      </w:pPr>
      <w:r>
        <w:t xml:space="preserve">A través de estos valores se estimó  </w:t>
      </w:r>
      <m:oMath>
        <m:r>
          <w:rPr>
            <w:rFonts w:ascii="Cambria Math" w:hAnsi="Cambria Math"/>
            <w:sz w:val="28"/>
            <w:szCs w:val="28"/>
          </w:rPr>
          <m:t>Ic=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cj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>
        <w:rPr>
          <w:rFonts w:eastAsiaTheme="minorEastAsia"/>
        </w:rPr>
        <w:t xml:space="preserve"> :</w:t>
      </w:r>
    </w:p>
    <w:p w14:paraId="325DD814" w14:textId="77777777" w:rsidR="00C11E08" w:rsidRDefault="00C11E08" w:rsidP="00550C8F">
      <w:pPr>
        <w:spacing w:after="0" w:line="240" w:lineRule="auto"/>
        <w:jc w:val="both"/>
        <w:rPr>
          <w:rFonts w:eastAsiaTheme="minorEastAsia"/>
        </w:rPr>
      </w:pPr>
    </w:p>
    <w:p w14:paraId="553735AE" w14:textId="77777777" w:rsidR="00C11E08" w:rsidRDefault="00FD59C0" w:rsidP="00550C8F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  <w:b/>
        </w:rPr>
        <w:t>Vertical</w:t>
      </w:r>
      <w:r w:rsidR="00C11E08">
        <w:rPr>
          <w:rFonts w:eastAsiaTheme="minorEastAsia"/>
        </w:rPr>
        <w:tab/>
      </w:r>
      <w:r w:rsidR="00C11E08">
        <w:rPr>
          <w:rFonts w:eastAsiaTheme="minorEastAsia"/>
        </w:rPr>
        <w:tab/>
      </w:r>
      <w:r w:rsidR="00C11E08">
        <w:rPr>
          <w:rFonts w:eastAsiaTheme="minorEastAsia"/>
        </w:rPr>
        <w:tab/>
      </w:r>
      <w:r w:rsidR="00C11E08">
        <w:rPr>
          <w:rFonts w:eastAsiaTheme="minorEastAsia"/>
        </w:rPr>
        <w:tab/>
      </w:r>
      <w:r w:rsidR="00C11E08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>Horizontal</w:t>
      </w:r>
    </w:p>
    <w:p w14:paraId="421339D0" w14:textId="77777777" w:rsidR="00C11E08" w:rsidRPr="003530F0" w:rsidRDefault="00550C8F" w:rsidP="00C11E08">
      <w:pPr>
        <w:spacing w:after="0" w:line="240" w:lineRule="auto"/>
        <w:jc w:val="both"/>
        <w:rPr>
          <w:rFonts w:eastAsiaTheme="minorEastAsia"/>
          <w:b/>
        </w:rPr>
      </w:pP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highlight w:val="yellow"/>
          </w:rPr>
          <m:t>Ic=</m:t>
        </m:r>
        <m:r>
          <m:rPr>
            <m:sty m:val="bi"/>
          </m:rPr>
          <w:rPr>
            <w:rFonts w:ascii="Cambria Math" w:hAnsi="Cambria Math"/>
            <w:highlight w:val="yellow"/>
          </w:rPr>
          <m:t>172</m:t>
        </m:r>
      </m:oMath>
      <w:r w:rsidR="00C11E08">
        <w:rPr>
          <w:rFonts w:eastAsiaTheme="minorEastAsia"/>
          <w:b/>
        </w:rPr>
        <w:tab/>
      </w:r>
      <w:r w:rsidR="00C11E08">
        <w:rPr>
          <w:rFonts w:eastAsiaTheme="minorEastAsia"/>
          <w:b/>
        </w:rPr>
        <w:tab/>
      </w:r>
      <w:r w:rsidR="00C11E08">
        <w:rPr>
          <w:rFonts w:eastAsiaTheme="minorEastAsia"/>
          <w:b/>
        </w:rPr>
        <w:tab/>
      </w:r>
      <w:r w:rsidR="00C11E08">
        <w:rPr>
          <w:rFonts w:eastAsiaTheme="minorEastAsia"/>
          <w:b/>
        </w:rPr>
        <w:tab/>
      </w:r>
      <w:r w:rsidR="00FD59C0">
        <w:rPr>
          <w:rFonts w:eastAsiaTheme="minorEastAsia"/>
          <w:b/>
        </w:rPr>
        <w:tab/>
      </w:r>
      <m:oMath>
        <m:r>
          <w:rPr>
            <w:rFonts w:ascii="Cambria Math" w:hAnsi="Cambria Math"/>
            <w:highlight w:val="yellow"/>
          </w:rPr>
          <m:t>Ic=</m:t>
        </m:r>
        <m:r>
          <m:rPr>
            <m:sty m:val="bi"/>
          </m:rPr>
          <w:rPr>
            <w:rFonts w:ascii="Cambria Math" w:hAnsi="Cambria Math"/>
            <w:highlight w:val="yellow"/>
          </w:rPr>
          <m:t>502</m:t>
        </m:r>
      </m:oMath>
    </w:p>
    <w:p w14:paraId="769DC616" w14:textId="77777777" w:rsidR="00550C8F" w:rsidRPr="003530F0" w:rsidRDefault="00550C8F" w:rsidP="00550C8F">
      <w:pPr>
        <w:spacing w:after="0" w:line="240" w:lineRule="auto"/>
        <w:jc w:val="both"/>
        <w:rPr>
          <w:rFonts w:eastAsiaTheme="minorEastAsia"/>
          <w:b/>
        </w:rPr>
      </w:pPr>
    </w:p>
    <w:p w14:paraId="1DC53EEB" w14:textId="77777777" w:rsidR="00550C8F" w:rsidRDefault="00550C8F" w:rsidP="00550C8F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 xml:space="preserve">Con base en el </w:t>
      </w:r>
      <m:oMath>
        <m:r>
          <w:rPr>
            <w:rFonts w:ascii="Cambria Math" w:hAnsi="Cambria Math"/>
          </w:rPr>
          <m:t xml:space="preserve">Ph </m:t>
        </m:r>
      </m:oMath>
      <w:r>
        <w:rPr>
          <w:rFonts w:eastAsiaTheme="minorEastAsia"/>
        </w:rPr>
        <w:t xml:space="preserve"> se calculó el </w:t>
      </w:r>
      <w:r w:rsidRPr="00733EA4">
        <w:rPr>
          <w:rFonts w:eastAsiaTheme="minorEastAsia"/>
        </w:rPr>
        <w:t xml:space="preserve">Índice de aumento construcción/técnico de inmuebles </w:t>
      </w:r>
      <w:r>
        <w:rPr>
          <w:rFonts w:eastAsiaTheme="minorEastAsia"/>
        </w:rPr>
        <w:t xml:space="preserve">utilizando el índice SHF </w:t>
      </w:r>
      <w:r w:rsidRPr="00733EA4">
        <w:rPr>
          <w:rFonts w:eastAsiaTheme="minorEastAsia"/>
        </w:rPr>
        <w:t xml:space="preserve">con un valor de </w:t>
      </w:r>
      <w:r w:rsidRPr="00D64DCA">
        <w:rPr>
          <w:rFonts w:eastAsiaTheme="minorEastAsia"/>
          <w:b/>
        </w:rPr>
        <w:t>1</w:t>
      </w:r>
      <w:r w:rsidR="0071176A">
        <w:rPr>
          <w:rFonts w:eastAsiaTheme="minorEastAsia"/>
          <w:b/>
        </w:rPr>
        <w:t>4</w:t>
      </w:r>
      <w:r>
        <w:rPr>
          <w:rFonts w:eastAsiaTheme="minorEastAsia"/>
          <w:b/>
        </w:rPr>
        <w:t>.</w:t>
      </w:r>
      <w:r w:rsidR="0071176A">
        <w:rPr>
          <w:rFonts w:eastAsiaTheme="minorEastAsia"/>
          <w:b/>
        </w:rPr>
        <w:t>5</w:t>
      </w:r>
      <w:r w:rsidRPr="00D64DCA">
        <w:rPr>
          <w:rFonts w:eastAsiaTheme="minorEastAsia"/>
          <w:b/>
        </w:rPr>
        <w:t>%</w:t>
      </w:r>
      <w:r>
        <w:rPr>
          <w:rFonts w:eastAsiaTheme="minorEastAsia"/>
        </w:rPr>
        <w:t xml:space="preserve"> para los cabos, tanto para vivienda Horizontal como Vertical:</w:t>
      </w:r>
    </w:p>
    <w:p w14:paraId="330B79D7" w14:textId="77777777" w:rsidR="00550C8F" w:rsidRDefault="00550C8F" w:rsidP="00550C8F">
      <w:pPr>
        <w:spacing w:after="0" w:line="240" w:lineRule="auto"/>
        <w:jc w:val="both"/>
        <w:rPr>
          <w:rFonts w:eastAsiaTheme="minorEastAsia"/>
        </w:rPr>
      </w:pPr>
    </w:p>
    <w:p w14:paraId="5A4DF6FC" w14:textId="77777777" w:rsidR="00550C8F" w:rsidRPr="00847354" w:rsidRDefault="00FD59C0" w:rsidP="00550C8F">
      <w:pPr>
        <w:spacing w:after="0" w:line="240" w:lineRule="auto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>Vertical</w:t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DB429F">
        <w:rPr>
          <w:rFonts w:eastAsiaTheme="minorEastAsia"/>
          <w:b/>
        </w:rPr>
        <w:tab/>
        <w:t>Horizontal</w:t>
      </w:r>
    </w:p>
    <w:p w14:paraId="7C08FF21" w14:textId="77777777" w:rsidR="00550C8F" w:rsidRPr="00733EA4" w:rsidRDefault="00550C8F" w:rsidP="00550C8F">
      <w:pPr>
        <w:spacing w:after="0" w:line="240" w:lineRule="auto"/>
        <w:jc w:val="both"/>
        <w:rPr>
          <w:rFonts w:eastAsiaTheme="minorEastAsia"/>
          <w:b/>
        </w:rPr>
      </w:pPr>
      <m:oMath>
        <m:r>
          <w:rPr>
            <w:rFonts w:ascii="Cambria Math" w:hAnsi="Cambria Math"/>
          </w:rPr>
          <m:t>Ia=</m:t>
        </m:r>
        <m:r>
          <m:rPr>
            <m:sty m:val="bi"/>
          </m:rPr>
          <w:rPr>
            <w:rFonts w:ascii="Cambria Math" w:hAnsi="Cambria Math"/>
          </w:rPr>
          <m:t>2,751 x 14.5%</m:t>
        </m:r>
      </m:oMath>
      <w:r>
        <w:rPr>
          <w:rFonts w:eastAsiaTheme="minorEastAsia"/>
          <w:b/>
        </w:rPr>
        <w:tab/>
      </w:r>
      <w:r w:rsidR="00C11E08">
        <w:rPr>
          <w:rFonts w:eastAsiaTheme="minorEastAsia"/>
          <w:b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Ia=</m:t>
        </m:r>
        <m:r>
          <m:rPr>
            <m:sty m:val="bi"/>
          </m:rPr>
          <w:rPr>
            <w:rFonts w:ascii="Cambria Math" w:hAnsi="Cambria Math"/>
          </w:rPr>
          <m:t>1,951 x 14.5%</m:t>
        </m:r>
      </m:oMath>
    </w:p>
    <w:p w14:paraId="0030902D" w14:textId="77777777" w:rsidR="00550C8F" w:rsidRPr="00733EA4" w:rsidRDefault="00550C8F" w:rsidP="00550C8F">
      <w:pPr>
        <w:spacing w:after="0" w:line="240" w:lineRule="auto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Ia=</m:t>
        </m:r>
        <m:r>
          <m:rPr>
            <m:sty m:val="bi"/>
          </m:rPr>
          <w:rPr>
            <w:rFonts w:ascii="Cambria Math" w:hAnsi="Cambria Math"/>
            <w:highlight w:val="yellow"/>
          </w:rPr>
          <m:t>399</m:t>
        </m:r>
      </m:oMath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w:rPr>
            <w:rFonts w:ascii="Cambria Math" w:hAnsi="Cambria Math"/>
          </w:rPr>
          <m:t>Ia=</m:t>
        </m:r>
        <m:r>
          <m:rPr>
            <m:sty m:val="bi"/>
          </m:rPr>
          <w:rPr>
            <w:rFonts w:ascii="Cambria Math" w:hAnsi="Cambria Math"/>
            <w:highlight w:val="yellow"/>
          </w:rPr>
          <m:t>284</m:t>
        </m:r>
      </m:oMath>
    </w:p>
    <w:p w14:paraId="6217B323" w14:textId="77777777" w:rsidR="00550C8F" w:rsidRPr="00733EA4" w:rsidRDefault="00550C8F" w:rsidP="00550C8F">
      <w:pPr>
        <w:spacing w:after="0" w:line="240" w:lineRule="auto"/>
        <w:jc w:val="both"/>
        <w:rPr>
          <w:rFonts w:eastAsiaTheme="minorEastAsia"/>
        </w:rPr>
      </w:pPr>
    </w:p>
    <w:p w14:paraId="424026AC" w14:textId="77777777" w:rsidR="00550C8F" w:rsidRPr="00ED3C24" w:rsidRDefault="00550C8F" w:rsidP="00550C8F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Finalmente estimamos </w:t>
      </w:r>
      <m:oMath>
        <m:r>
          <w:rPr>
            <w:rFonts w:ascii="Cambria Math" w:hAnsi="Cambria Math"/>
          </w:rPr>
          <m:t>P</m:t>
        </m:r>
      </m:oMath>
      <w:r>
        <w:rPr>
          <w:rFonts w:eastAsiaTheme="minorEastAsia"/>
        </w:rPr>
        <w:t xml:space="preserve"> (Precio Actual de Mercado), a partir de las variaciones históricas de precios y el índice de aumento de la vivienda para la Zona:</w:t>
      </w:r>
    </w:p>
    <w:p w14:paraId="32187E5C" w14:textId="77777777" w:rsidR="00550C8F" w:rsidRDefault="00550C8F" w:rsidP="00550C8F">
      <w:pPr>
        <w:pStyle w:val="Prrafodelista"/>
        <w:spacing w:after="0" w:line="240" w:lineRule="auto"/>
        <w:ind w:left="360"/>
        <w:jc w:val="both"/>
        <w:rPr>
          <w:rFonts w:eastAsiaTheme="minorEastAsia"/>
        </w:rPr>
      </w:pPr>
    </w:p>
    <w:p w14:paraId="70B45C25" w14:textId="77777777" w:rsidR="00550C8F" w:rsidRDefault="00EA6F9E" w:rsidP="00550C8F">
      <w:pPr>
        <w:pStyle w:val="Prrafodelista"/>
        <w:spacing w:after="0" w:line="240" w:lineRule="auto"/>
        <w:ind w:left="0"/>
        <w:jc w:val="both"/>
        <w:rPr>
          <w:rFonts w:eastAsiaTheme="minorEastAsia"/>
        </w:rPr>
      </w:pPr>
      <w:r>
        <w:rPr>
          <w:rFonts w:eastAsiaTheme="minorEastAsia"/>
          <w:b/>
        </w:rPr>
        <w:t>Vertic</w:t>
      </w:r>
      <w:r w:rsidR="00550C8F" w:rsidRPr="00847354">
        <w:rPr>
          <w:rFonts w:eastAsiaTheme="minorEastAsia"/>
          <w:b/>
        </w:rPr>
        <w:t>al</w:t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>
        <w:rPr>
          <w:rFonts w:eastAsiaTheme="minorEastAsia"/>
          <w:b/>
        </w:rPr>
        <w:t>Horizontal</w:t>
      </w:r>
      <w:r w:rsidR="00550C8F">
        <w:rPr>
          <w:rFonts w:eastAsiaTheme="minorEastAsia"/>
          <w:b/>
        </w:rPr>
        <w:tab/>
      </w:r>
    </w:p>
    <w:p w14:paraId="523FF7A5" w14:textId="77777777" w:rsidR="00550C8F" w:rsidRPr="00ED3C24" w:rsidRDefault="00550C8F" w:rsidP="00550C8F">
      <w:pPr>
        <w:spacing w:after="0" w:line="240" w:lineRule="auto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P=Ph+ Ic+Ia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P=Ph+ Ic+Ia</m:t>
        </m:r>
      </m:oMath>
    </w:p>
    <w:p w14:paraId="7B0C46AF" w14:textId="77777777" w:rsidR="00550C8F" w:rsidRDefault="00550C8F" w:rsidP="00550C8F">
      <w:pPr>
        <w:spacing w:after="0" w:line="240" w:lineRule="auto"/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P=2,751+172+399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hAnsi="Cambria Math"/>
          </w:rPr>
          <m:t>P=1,951+502+284</m:t>
        </m:r>
      </m:oMath>
      <w:r>
        <w:rPr>
          <w:rFonts w:eastAsiaTheme="minorEastAsia"/>
        </w:rPr>
        <w:t xml:space="preserve"> </w:t>
      </w:r>
    </w:p>
    <w:p w14:paraId="2100AE4C" w14:textId="77777777" w:rsidR="00550C8F" w:rsidRDefault="00550C8F" w:rsidP="00550C8F">
      <w:pPr>
        <w:spacing w:after="0" w:line="240" w:lineRule="auto"/>
        <w:ind w:firstLine="360"/>
        <w:jc w:val="both"/>
        <w:rPr>
          <w:rFonts w:eastAsiaTheme="minorEastAsia"/>
        </w:rPr>
      </w:pPr>
    </w:p>
    <w:p w14:paraId="322B63DD" w14:textId="77777777" w:rsidR="00550C8F" w:rsidRDefault="00550C8F" w:rsidP="00550C8F">
      <w:pPr>
        <w:spacing w:after="0" w:line="240" w:lineRule="auto"/>
        <w:jc w:val="both"/>
        <w:rPr>
          <w:rFonts w:eastAsiaTheme="minorEastAsia"/>
        </w:rPr>
      </w:pPr>
      <w:r>
        <w:rPr>
          <w:rFonts w:eastAsiaTheme="minorEastAsia"/>
        </w:rPr>
        <w:t>Por lo tanto, el Precio Actual de Mercado fue establecido en:</w:t>
      </w:r>
    </w:p>
    <w:p w14:paraId="45A2EF59" w14:textId="77777777" w:rsidR="00550C8F" w:rsidRDefault="00550C8F" w:rsidP="00550C8F">
      <w:pPr>
        <w:spacing w:after="0" w:line="240" w:lineRule="auto"/>
        <w:jc w:val="both"/>
        <w:rPr>
          <w:rFonts w:eastAsiaTheme="minorEastAsia"/>
          <w:highlight w:val="yellow"/>
        </w:rPr>
      </w:pPr>
    </w:p>
    <w:p w14:paraId="16C50FE9" w14:textId="77777777" w:rsidR="00550C8F" w:rsidRPr="00ED3C24" w:rsidRDefault="00EA2B0E" w:rsidP="00550C8F">
      <w:pPr>
        <w:spacing w:after="0" w:line="240" w:lineRule="auto"/>
        <w:jc w:val="both"/>
        <w:rPr>
          <w:rFonts w:eastAsiaTheme="minorEastAsia"/>
          <w:highlight w:val="yellow"/>
        </w:rPr>
      </w:pPr>
      <w:r>
        <w:rPr>
          <w:rFonts w:eastAsiaTheme="minorEastAsia"/>
          <w:b/>
        </w:rPr>
        <w:t>Vertical</w:t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 w:rsidR="00550C8F"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>Horizontal</w:t>
      </w:r>
    </w:p>
    <w:p w14:paraId="21002AAC" w14:textId="77777777" w:rsidR="00550C8F" w:rsidRDefault="00550C8F" w:rsidP="00550C8F">
      <w:pPr>
        <w:spacing w:after="0" w:line="240" w:lineRule="auto"/>
        <w:jc w:val="both"/>
        <w:rPr>
          <w:rFonts w:eastAsiaTheme="minorEastAsia"/>
          <w:b/>
        </w:rPr>
      </w:pPr>
      <m:oMath>
        <m:r>
          <w:rPr>
            <w:rFonts w:ascii="Cambria Math" w:hAnsi="Cambria Math"/>
            <w:highlight w:val="yellow"/>
          </w:rPr>
          <m:t>P=</m:t>
        </m:r>
        <m:r>
          <m:rPr>
            <m:sty m:val="bi"/>
          </m:rPr>
          <w:rPr>
            <w:rFonts w:ascii="Cambria Math" w:hAnsi="Cambria Math"/>
          </w:rPr>
          <m:t>3,332</m:t>
        </m:r>
      </m:oMath>
      <w:r>
        <w:rPr>
          <w:rFonts w:eastAsiaTheme="minorEastAsia"/>
          <w:b/>
        </w:rPr>
        <w:t xml:space="preserve">  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m:oMath>
        <m:r>
          <w:rPr>
            <w:rFonts w:ascii="Cambria Math" w:hAnsi="Cambria Math"/>
            <w:highlight w:val="yellow"/>
          </w:rPr>
          <m:t>P=</m:t>
        </m:r>
        <m:r>
          <m:rPr>
            <m:sty m:val="bi"/>
          </m:rPr>
          <w:rPr>
            <w:rFonts w:ascii="Cambria Math" w:hAnsi="Cambria Math"/>
          </w:rPr>
          <m:t>2,737</m:t>
        </m:r>
      </m:oMath>
      <w:r>
        <w:rPr>
          <w:rFonts w:eastAsiaTheme="minorEastAsia"/>
          <w:b/>
        </w:rPr>
        <w:t xml:space="preserve">   </w:t>
      </w:r>
    </w:p>
    <w:p w14:paraId="1E71D7D6" w14:textId="77777777" w:rsidR="00550C8F" w:rsidRDefault="00B80A2B" w:rsidP="00106357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 xml:space="preserve">De acuerdo al Modelo estimado para una unidad </w:t>
      </w:r>
      <w:r w:rsidR="00EA6F9E" w:rsidRPr="00EA2B0E">
        <w:rPr>
          <w:rFonts w:eastAsiaTheme="minorEastAsia"/>
          <w:b/>
          <w:sz w:val="24"/>
          <w:szCs w:val="24"/>
          <w:highlight w:val="yellow"/>
        </w:rPr>
        <w:t>Vertical</w:t>
      </w:r>
      <w:r>
        <w:rPr>
          <w:rFonts w:eastAsiaTheme="minorEastAsia"/>
          <w:sz w:val="24"/>
          <w:szCs w:val="24"/>
        </w:rPr>
        <w:t xml:space="preserve"> con un tamaño promedio de </w:t>
      </w:r>
      <w:r w:rsidR="00EA2B0E">
        <w:rPr>
          <w:rFonts w:eastAsiaTheme="minorEastAsia"/>
          <w:b/>
          <w:sz w:val="24"/>
          <w:szCs w:val="24"/>
        </w:rPr>
        <w:t>156</w:t>
      </w:r>
      <w:r>
        <w:rPr>
          <w:rFonts w:eastAsiaTheme="minorEastAsia"/>
          <w:sz w:val="24"/>
          <w:szCs w:val="24"/>
        </w:rPr>
        <w:t xml:space="preserve"> mt2 tendremos:</w:t>
      </w:r>
    </w:p>
    <w:p w14:paraId="1071EDEF" w14:textId="77777777" w:rsidR="00B80A2B" w:rsidRDefault="00B80A2B" w:rsidP="00106357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7DC19E58" w14:textId="77777777" w:rsidR="00550C8F" w:rsidRDefault="00106357" w:rsidP="00106357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  <w:r w:rsidRPr="00FD59C0">
        <w:rPr>
          <w:rFonts w:eastAsiaTheme="minorEastAsia"/>
          <w:sz w:val="24"/>
          <w:szCs w:val="24"/>
        </w:rPr>
        <w:t>Precio:</w:t>
      </w:r>
      <w:r w:rsidRPr="00106357">
        <w:rPr>
          <w:rFonts w:eastAsiaTheme="minorEastAsia"/>
          <w:b/>
          <w:sz w:val="24"/>
          <w:szCs w:val="24"/>
        </w:rPr>
        <w:t xml:space="preserve"> </w:t>
      </w:r>
      <w:r w:rsidR="00037556" w:rsidRPr="00037556">
        <w:rPr>
          <w:rFonts w:eastAsiaTheme="minorEastAsia"/>
          <w:sz w:val="24"/>
          <w:szCs w:val="24"/>
        </w:rPr>
        <w:t>156 x 3332 =</w:t>
      </w:r>
      <w:r w:rsidR="00037556">
        <w:rPr>
          <w:rFonts w:eastAsiaTheme="minorEastAsia"/>
          <w:b/>
          <w:sz w:val="24"/>
          <w:szCs w:val="24"/>
        </w:rPr>
        <w:t xml:space="preserve"> </w:t>
      </w:r>
      <w:r w:rsidR="00EA2B0E">
        <w:rPr>
          <w:rFonts w:eastAsiaTheme="minorEastAsia"/>
          <w:b/>
          <w:sz w:val="24"/>
          <w:szCs w:val="24"/>
          <w:highlight w:val="yellow"/>
        </w:rPr>
        <w:t>518</w:t>
      </w:r>
      <w:r w:rsidRPr="00037556">
        <w:rPr>
          <w:rFonts w:eastAsiaTheme="minorEastAsia"/>
          <w:b/>
          <w:sz w:val="24"/>
          <w:szCs w:val="24"/>
          <w:highlight w:val="yellow"/>
        </w:rPr>
        <w:t>,</w:t>
      </w:r>
      <w:r w:rsidR="00EA2B0E">
        <w:rPr>
          <w:rFonts w:eastAsiaTheme="minorEastAsia"/>
          <w:b/>
          <w:sz w:val="24"/>
          <w:szCs w:val="24"/>
          <w:highlight w:val="yellow"/>
        </w:rPr>
        <w:t>232</w:t>
      </w:r>
    </w:p>
    <w:p w14:paraId="07E4A2D6" w14:textId="77777777" w:rsidR="00EA2B0E" w:rsidRDefault="00EA2B0E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6947B1CC" w14:textId="77777777" w:rsidR="00DB429F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Absorción estimada de acuerdo al modelo:</w:t>
      </w:r>
    </w:p>
    <w:p w14:paraId="7E7CD8F0" w14:textId="77777777" w:rsidR="00DB429F" w:rsidRPr="00037556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37556">
        <w:rPr>
          <w:rFonts w:eastAsiaTheme="minorEastAsia"/>
          <w:sz w:val="24"/>
          <w:szCs w:val="24"/>
        </w:rPr>
        <w:t xml:space="preserve">Absorción = </w:t>
      </w:r>
      <w:r w:rsidR="00EA2B0E">
        <w:rPr>
          <w:rFonts w:eastAsiaTheme="minorEastAsia"/>
          <w:sz w:val="24"/>
          <w:szCs w:val="24"/>
        </w:rPr>
        <w:t>0</w:t>
      </w:r>
      <w:r w:rsidRPr="00037556">
        <w:rPr>
          <w:rFonts w:eastAsiaTheme="minorEastAsia"/>
          <w:sz w:val="24"/>
          <w:szCs w:val="24"/>
        </w:rPr>
        <w:t>.</w:t>
      </w:r>
      <w:r w:rsidR="00EA2B0E">
        <w:rPr>
          <w:rFonts w:eastAsiaTheme="minorEastAsia"/>
          <w:sz w:val="24"/>
          <w:szCs w:val="24"/>
        </w:rPr>
        <w:t>729</w:t>
      </w:r>
      <w:r w:rsidRPr="00037556">
        <w:rPr>
          <w:rFonts w:eastAsiaTheme="minorEastAsia"/>
          <w:sz w:val="24"/>
          <w:szCs w:val="24"/>
        </w:rPr>
        <w:t xml:space="preserve"> + (-0.000001</w:t>
      </w:r>
      <w:r w:rsidR="00EA2B0E">
        <w:rPr>
          <w:rFonts w:eastAsiaTheme="minorEastAsia"/>
          <w:sz w:val="24"/>
          <w:szCs w:val="24"/>
        </w:rPr>
        <w:t>55</w:t>
      </w:r>
      <w:r w:rsidRPr="00037556">
        <w:rPr>
          <w:rFonts w:eastAsiaTheme="minorEastAsia"/>
          <w:sz w:val="24"/>
          <w:szCs w:val="24"/>
        </w:rPr>
        <w:t>*</w:t>
      </w:r>
      <w:r w:rsidR="00EA2B0E">
        <w:rPr>
          <w:rFonts w:eastAsiaTheme="minorEastAsia"/>
          <w:sz w:val="24"/>
          <w:szCs w:val="24"/>
        </w:rPr>
        <w:t>518</w:t>
      </w:r>
      <w:r w:rsidRPr="00037556">
        <w:rPr>
          <w:rFonts w:eastAsiaTheme="minorEastAsia"/>
          <w:sz w:val="24"/>
          <w:szCs w:val="24"/>
        </w:rPr>
        <w:t>,</w:t>
      </w:r>
      <w:r w:rsidR="00EA2B0E">
        <w:rPr>
          <w:rFonts w:eastAsiaTheme="minorEastAsia"/>
          <w:sz w:val="24"/>
          <w:szCs w:val="24"/>
        </w:rPr>
        <w:t>232</w:t>
      </w:r>
      <w:r w:rsidRPr="00037556">
        <w:rPr>
          <w:rFonts w:eastAsiaTheme="minorEastAsia"/>
          <w:sz w:val="24"/>
          <w:szCs w:val="24"/>
        </w:rPr>
        <w:t>) + (0.018*156)</w:t>
      </w:r>
    </w:p>
    <w:p w14:paraId="169B7CBB" w14:textId="77777777" w:rsidR="00DB429F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37556">
        <w:rPr>
          <w:rFonts w:eastAsiaTheme="minorEastAsia"/>
          <w:sz w:val="24"/>
          <w:szCs w:val="24"/>
        </w:rPr>
        <w:t xml:space="preserve">Absorción = </w:t>
      </w:r>
      <w:r w:rsidR="00EA2B0E">
        <w:rPr>
          <w:rFonts w:eastAsiaTheme="minorEastAsia"/>
          <w:b/>
          <w:sz w:val="24"/>
          <w:szCs w:val="24"/>
          <w:highlight w:val="yellow"/>
        </w:rPr>
        <w:t>2</w:t>
      </w:r>
      <w:r w:rsidRPr="00FD59C0">
        <w:rPr>
          <w:rFonts w:eastAsiaTheme="minorEastAsia"/>
          <w:b/>
          <w:sz w:val="24"/>
          <w:szCs w:val="24"/>
          <w:highlight w:val="yellow"/>
        </w:rPr>
        <w:t>.</w:t>
      </w:r>
      <w:r w:rsidR="00EA2B0E">
        <w:rPr>
          <w:rFonts w:eastAsiaTheme="minorEastAsia"/>
          <w:b/>
          <w:sz w:val="24"/>
          <w:szCs w:val="24"/>
          <w:highlight w:val="yellow"/>
        </w:rPr>
        <w:t>73</w:t>
      </w:r>
    </w:p>
    <w:p w14:paraId="660CCA0E" w14:textId="77777777" w:rsidR="00DB429F" w:rsidRDefault="00DB429F" w:rsidP="00106357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p w14:paraId="13B056CD" w14:textId="77777777" w:rsidR="00FD59C0" w:rsidRDefault="00FD59C0" w:rsidP="00106357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tbl>
      <w:tblPr>
        <w:tblW w:w="5720" w:type="dxa"/>
        <w:tblLook w:val="04A0" w:firstRow="1" w:lastRow="0" w:firstColumn="1" w:lastColumn="0" w:noHBand="0" w:noVBand="1"/>
      </w:tblPr>
      <w:tblGrid>
        <w:gridCol w:w="1780"/>
        <w:gridCol w:w="1200"/>
        <w:gridCol w:w="1360"/>
        <w:gridCol w:w="1380"/>
      </w:tblGrid>
      <w:tr w:rsidR="00EA6F9E" w:rsidRPr="00EA6F9E" w14:paraId="6A97FCDB" w14:textId="77777777" w:rsidTr="00EA6F9E">
        <w:trPr>
          <w:trHeight w:val="76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EB689" w14:textId="77777777" w:rsidR="00EA6F9E" w:rsidRPr="00EA6F9E" w:rsidRDefault="00EA6F9E" w:rsidP="00EA6F9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CAD8B39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Límite</w:t>
            </w:r>
            <w:proofErr w:type="spellEnd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inferior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68C2E172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Estimada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74FC728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Limite</w:t>
            </w:r>
            <w:proofErr w:type="spellEnd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Superior</w:t>
            </w:r>
          </w:p>
        </w:tc>
      </w:tr>
      <w:tr w:rsidR="00EA6F9E" w:rsidRPr="00EA6F9E" w14:paraId="126E220C" w14:textId="77777777" w:rsidTr="00EA6F9E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C47A8" w14:textId="77777777" w:rsidR="00EA6F9E" w:rsidRPr="00EA6F9E" w:rsidRDefault="00EA6F9E" w:rsidP="00EA6F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Tamaño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5D9AA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C1C3C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FC99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176</w:t>
            </w:r>
          </w:p>
        </w:tc>
      </w:tr>
      <w:tr w:rsidR="00EA6F9E" w:rsidRPr="00EA6F9E" w14:paraId="32EC44A5" w14:textId="77777777" w:rsidTr="00EA6F9E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DD22" w14:textId="77777777" w:rsidR="00EA6F9E" w:rsidRPr="00EA6F9E" w:rsidRDefault="00EA6F9E" w:rsidP="00EA6F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C32B9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509608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2C716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518232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C75B4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585084</w:t>
            </w:r>
          </w:p>
        </w:tc>
      </w:tr>
      <w:tr w:rsidR="00EA6F9E" w:rsidRPr="00EA6F9E" w14:paraId="7804E728" w14:textId="77777777" w:rsidTr="00EA6F9E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24802" w14:textId="77777777" w:rsidR="00EA6F9E" w:rsidRPr="00EA6F9E" w:rsidRDefault="00EA6F9E" w:rsidP="00EA6F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mt2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134F1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3277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8CE93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3332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9D31E" w14:textId="77777777" w:rsidR="00EA6F9E" w:rsidRPr="00EA6F9E" w:rsidRDefault="00EA6F9E" w:rsidP="00EA6F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3762</w:t>
            </w:r>
          </w:p>
        </w:tc>
      </w:tr>
      <w:tr w:rsidR="00EA6F9E" w:rsidRPr="00EA6F9E" w14:paraId="271DB3D6" w14:textId="77777777" w:rsidTr="00EA6F9E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4F1C0" w14:textId="77777777" w:rsidR="00EA6F9E" w:rsidRPr="00EA6F9E" w:rsidRDefault="00EA6F9E" w:rsidP="00EA6F9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EA6F9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Absorción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75B3547" w14:textId="77777777" w:rsidR="00EA6F9E" w:rsidRPr="00EA6F9E" w:rsidRDefault="00EA6F9E" w:rsidP="00EA2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2.</w:t>
            </w:r>
            <w:r w:rsidR="00EA2B0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117DF9B" w14:textId="77777777" w:rsidR="00EA6F9E" w:rsidRPr="00EA6F9E" w:rsidRDefault="00EA2B0E" w:rsidP="00EA2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2</w:t>
            </w:r>
            <w:r w:rsidR="00EA6F9E" w:rsidRPr="00EA6F9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BE9E5B3" w14:textId="77777777" w:rsidR="00EA6F9E" w:rsidRPr="00EA6F9E" w:rsidRDefault="00EA6F9E" w:rsidP="00EA2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EA6F9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3.</w:t>
            </w:r>
            <w:r w:rsidR="00EA2B0E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14:paraId="3988D360" w14:textId="77777777" w:rsidR="00EA6F9E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5121D5AA" w14:textId="77777777" w:rsidR="00EA6F9E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1A0EBD5E" w14:textId="77777777" w:rsidR="00EA6F9E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Y para una unidad </w:t>
      </w:r>
      <w:r w:rsidRPr="00EA2B0E">
        <w:rPr>
          <w:rFonts w:eastAsiaTheme="minorEastAsia"/>
          <w:b/>
          <w:sz w:val="24"/>
          <w:szCs w:val="24"/>
          <w:highlight w:val="yellow"/>
        </w:rPr>
        <w:t>Horizontal</w:t>
      </w:r>
      <w:r>
        <w:rPr>
          <w:rFonts w:eastAsiaTheme="minorEastAsia"/>
          <w:sz w:val="24"/>
          <w:szCs w:val="24"/>
        </w:rPr>
        <w:t xml:space="preserve"> con un tamaño promedio de </w:t>
      </w:r>
      <w:r w:rsidR="00EA2B0E">
        <w:rPr>
          <w:rFonts w:eastAsiaTheme="minorEastAsia"/>
          <w:sz w:val="24"/>
          <w:szCs w:val="24"/>
        </w:rPr>
        <w:t>242</w:t>
      </w:r>
      <w:r>
        <w:rPr>
          <w:rFonts w:eastAsiaTheme="minorEastAsia"/>
          <w:sz w:val="24"/>
          <w:szCs w:val="24"/>
        </w:rPr>
        <w:t xml:space="preserve"> mt2 tendremos:</w:t>
      </w:r>
    </w:p>
    <w:p w14:paraId="4283741F" w14:textId="77777777" w:rsidR="00EA6F9E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480AB336" w14:textId="77777777" w:rsidR="00EA6F9E" w:rsidRPr="00037556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37556">
        <w:rPr>
          <w:rFonts w:eastAsiaTheme="minorEastAsia"/>
          <w:sz w:val="24"/>
          <w:szCs w:val="24"/>
        </w:rPr>
        <w:t>Precio:</w:t>
      </w:r>
      <w:r w:rsidRPr="00106357">
        <w:rPr>
          <w:rFonts w:eastAsiaTheme="minorEastAsia"/>
          <w:b/>
          <w:sz w:val="24"/>
          <w:szCs w:val="24"/>
        </w:rPr>
        <w:t xml:space="preserve"> </w:t>
      </w:r>
      <w:r w:rsidRPr="00037556">
        <w:rPr>
          <w:rFonts w:eastAsiaTheme="minorEastAsia"/>
          <w:sz w:val="24"/>
          <w:szCs w:val="24"/>
        </w:rPr>
        <w:t xml:space="preserve">242 x 2737 = </w:t>
      </w:r>
      <w:r w:rsidR="00EA2B0E">
        <w:rPr>
          <w:rFonts w:eastAsiaTheme="minorEastAsia"/>
          <w:b/>
          <w:sz w:val="24"/>
          <w:szCs w:val="24"/>
          <w:highlight w:val="yellow"/>
        </w:rPr>
        <w:t>662</w:t>
      </w:r>
      <w:r w:rsidRPr="00037556">
        <w:rPr>
          <w:rFonts w:eastAsiaTheme="minorEastAsia"/>
          <w:b/>
          <w:sz w:val="24"/>
          <w:szCs w:val="24"/>
          <w:highlight w:val="yellow"/>
        </w:rPr>
        <w:t>,3</w:t>
      </w:r>
      <w:r w:rsidR="00EA2B0E">
        <w:rPr>
          <w:rFonts w:eastAsiaTheme="minorEastAsia"/>
          <w:b/>
          <w:sz w:val="24"/>
          <w:szCs w:val="24"/>
          <w:highlight w:val="yellow"/>
        </w:rPr>
        <w:t>54</w:t>
      </w:r>
    </w:p>
    <w:p w14:paraId="5D89F250" w14:textId="77777777" w:rsidR="00EA6F9E" w:rsidRDefault="00EA6F9E" w:rsidP="00EA6F9E">
      <w:pPr>
        <w:spacing w:after="0" w:line="240" w:lineRule="auto"/>
        <w:jc w:val="both"/>
        <w:rPr>
          <w:rFonts w:eastAsiaTheme="minorEastAsia"/>
          <w:sz w:val="24"/>
          <w:szCs w:val="24"/>
        </w:rPr>
      </w:pPr>
    </w:p>
    <w:p w14:paraId="1021BCC9" w14:textId="77777777" w:rsidR="00DB429F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Absorción estimada de acuerdo al modelo:</w:t>
      </w:r>
    </w:p>
    <w:p w14:paraId="795416B3" w14:textId="77777777" w:rsidR="00DB429F" w:rsidRPr="00037556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37556">
        <w:rPr>
          <w:rFonts w:eastAsiaTheme="minorEastAsia"/>
          <w:sz w:val="24"/>
          <w:szCs w:val="24"/>
        </w:rPr>
        <w:t xml:space="preserve">Absorción </w:t>
      </w:r>
      <w:r w:rsidR="00EA2B0E">
        <w:rPr>
          <w:rFonts w:eastAsiaTheme="minorEastAsia"/>
          <w:sz w:val="24"/>
          <w:szCs w:val="24"/>
        </w:rPr>
        <w:t>= 1</w:t>
      </w:r>
      <w:r w:rsidRPr="00037556">
        <w:rPr>
          <w:rFonts w:eastAsiaTheme="minorEastAsia"/>
          <w:sz w:val="24"/>
          <w:szCs w:val="24"/>
        </w:rPr>
        <w:t>.</w:t>
      </w:r>
      <w:r w:rsidR="00EA2B0E">
        <w:rPr>
          <w:rFonts w:eastAsiaTheme="minorEastAsia"/>
          <w:sz w:val="24"/>
          <w:szCs w:val="24"/>
        </w:rPr>
        <w:t>981</w:t>
      </w:r>
      <w:r w:rsidRPr="00037556">
        <w:rPr>
          <w:rFonts w:eastAsiaTheme="minorEastAsia"/>
          <w:sz w:val="24"/>
          <w:szCs w:val="24"/>
        </w:rPr>
        <w:t xml:space="preserve"> + (-0.00000</w:t>
      </w:r>
      <w:r>
        <w:rPr>
          <w:rFonts w:eastAsiaTheme="minorEastAsia"/>
          <w:sz w:val="24"/>
          <w:szCs w:val="24"/>
        </w:rPr>
        <w:t>3</w:t>
      </w:r>
      <w:r w:rsidR="00F268F4">
        <w:rPr>
          <w:rFonts w:eastAsiaTheme="minorEastAsia"/>
          <w:sz w:val="24"/>
          <w:szCs w:val="24"/>
        </w:rPr>
        <w:t>54</w:t>
      </w:r>
      <w:r w:rsidRPr="00037556">
        <w:rPr>
          <w:rFonts w:eastAsiaTheme="minorEastAsia"/>
          <w:sz w:val="24"/>
          <w:szCs w:val="24"/>
        </w:rPr>
        <w:t>*</w:t>
      </w:r>
      <w:r>
        <w:rPr>
          <w:rFonts w:eastAsiaTheme="minorEastAsia"/>
          <w:sz w:val="24"/>
          <w:szCs w:val="24"/>
        </w:rPr>
        <w:t>662</w:t>
      </w:r>
      <w:r w:rsidRPr="00037556">
        <w:rPr>
          <w:rFonts w:eastAsiaTheme="minorEastAsia"/>
          <w:sz w:val="24"/>
          <w:szCs w:val="24"/>
        </w:rPr>
        <w:t>,</w:t>
      </w:r>
      <w:r>
        <w:rPr>
          <w:rFonts w:eastAsiaTheme="minorEastAsia"/>
          <w:sz w:val="24"/>
          <w:szCs w:val="24"/>
        </w:rPr>
        <w:t>354</w:t>
      </w:r>
      <w:r w:rsidRPr="00037556">
        <w:rPr>
          <w:rFonts w:eastAsiaTheme="minorEastAsia"/>
          <w:sz w:val="24"/>
          <w:szCs w:val="24"/>
        </w:rPr>
        <w:t>) + (0.0</w:t>
      </w:r>
      <w:r>
        <w:rPr>
          <w:rFonts w:eastAsiaTheme="minorEastAsia"/>
          <w:sz w:val="24"/>
          <w:szCs w:val="24"/>
        </w:rPr>
        <w:t>0</w:t>
      </w:r>
      <w:r w:rsidR="00F268F4">
        <w:rPr>
          <w:rFonts w:eastAsiaTheme="minorEastAsia"/>
          <w:sz w:val="24"/>
          <w:szCs w:val="24"/>
        </w:rPr>
        <w:t>8</w:t>
      </w:r>
      <w:r w:rsidRPr="00037556">
        <w:rPr>
          <w:rFonts w:eastAsiaTheme="minorEastAsia"/>
          <w:sz w:val="24"/>
          <w:szCs w:val="24"/>
        </w:rPr>
        <w:t>*</w:t>
      </w:r>
      <w:r>
        <w:rPr>
          <w:rFonts w:eastAsiaTheme="minorEastAsia"/>
          <w:sz w:val="24"/>
          <w:szCs w:val="24"/>
        </w:rPr>
        <w:t>242</w:t>
      </w:r>
      <w:r w:rsidRPr="00037556">
        <w:rPr>
          <w:rFonts w:eastAsiaTheme="minorEastAsia"/>
          <w:sz w:val="24"/>
          <w:szCs w:val="24"/>
        </w:rPr>
        <w:t>)</w:t>
      </w:r>
    </w:p>
    <w:p w14:paraId="29F7CD43" w14:textId="77777777" w:rsidR="00DB429F" w:rsidRDefault="00DB429F" w:rsidP="00DB429F">
      <w:pPr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037556">
        <w:rPr>
          <w:rFonts w:eastAsiaTheme="minorEastAsia"/>
          <w:sz w:val="24"/>
          <w:szCs w:val="24"/>
        </w:rPr>
        <w:t xml:space="preserve">Absorción = </w:t>
      </w:r>
      <w:r w:rsidR="00F268F4">
        <w:rPr>
          <w:rFonts w:eastAsiaTheme="minorEastAsia"/>
          <w:b/>
          <w:sz w:val="24"/>
          <w:szCs w:val="24"/>
          <w:highlight w:val="yellow"/>
        </w:rPr>
        <w:t>1.57</w:t>
      </w:r>
    </w:p>
    <w:p w14:paraId="228A3D1D" w14:textId="77777777" w:rsidR="00EA6F9E" w:rsidRDefault="00EA6F9E" w:rsidP="00EA6F9E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tbl>
      <w:tblPr>
        <w:tblW w:w="5720" w:type="dxa"/>
        <w:tblLook w:val="04A0" w:firstRow="1" w:lastRow="0" w:firstColumn="1" w:lastColumn="0" w:noHBand="0" w:noVBand="1"/>
      </w:tblPr>
      <w:tblGrid>
        <w:gridCol w:w="1780"/>
        <w:gridCol w:w="1200"/>
        <w:gridCol w:w="1360"/>
        <w:gridCol w:w="1380"/>
      </w:tblGrid>
      <w:tr w:rsidR="00EA6F9E" w:rsidRPr="00FD59C0" w14:paraId="6C2E24A2" w14:textId="77777777" w:rsidTr="00CD7543">
        <w:trPr>
          <w:trHeight w:val="765"/>
        </w:trPr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736BC" w14:textId="77777777" w:rsidR="00EA6F9E" w:rsidRPr="00FD59C0" w:rsidRDefault="00EA6F9E" w:rsidP="00CD75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28DBA2CA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Límite</w:t>
            </w:r>
            <w:proofErr w:type="spellEnd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inferior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D00E6B8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Estimada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69FD152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Limite</w:t>
            </w:r>
            <w:proofErr w:type="spellEnd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Superior</w:t>
            </w:r>
          </w:p>
        </w:tc>
      </w:tr>
      <w:tr w:rsidR="00EA6F9E" w:rsidRPr="00FD59C0" w14:paraId="19DB5D18" w14:textId="77777777" w:rsidTr="00CD7543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03FC8" w14:textId="77777777" w:rsidR="00EA6F9E" w:rsidRPr="00FD59C0" w:rsidRDefault="00EA6F9E" w:rsidP="00CD75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Tamaño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A8E8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BB088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052F5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278</w:t>
            </w:r>
          </w:p>
        </w:tc>
      </w:tr>
      <w:tr w:rsidR="00EA6F9E" w:rsidRPr="00FD59C0" w14:paraId="76F191AA" w14:textId="77777777" w:rsidTr="00CD7543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1E44" w14:textId="77777777" w:rsidR="00EA6F9E" w:rsidRPr="00FD59C0" w:rsidRDefault="00EA6F9E" w:rsidP="00CD75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8C131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647451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827E8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662354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9E1D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761707</w:t>
            </w:r>
          </w:p>
        </w:tc>
      </w:tr>
      <w:tr w:rsidR="00EA6F9E" w:rsidRPr="00FD59C0" w14:paraId="0BB4567A" w14:textId="77777777" w:rsidTr="00CD7543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E2816" w14:textId="77777777" w:rsidR="00EA6F9E" w:rsidRPr="00FD59C0" w:rsidRDefault="00EA6F9E" w:rsidP="00CD75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Precio</w:t>
            </w:r>
            <w:proofErr w:type="spellEnd"/>
            <w:r w:rsidRPr="00FD59C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mt2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49B40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2666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4B61F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2727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BB53A" w14:textId="77777777" w:rsidR="00EA6F9E" w:rsidRPr="00FD59C0" w:rsidRDefault="00EA6F9E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3136</w:t>
            </w:r>
          </w:p>
        </w:tc>
      </w:tr>
      <w:tr w:rsidR="00EA6F9E" w:rsidRPr="00FD59C0" w14:paraId="3CB63185" w14:textId="77777777" w:rsidTr="00CD7543">
        <w:trPr>
          <w:trHeight w:val="39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4915" w14:textId="77777777" w:rsidR="00EA6F9E" w:rsidRPr="00FD59C0" w:rsidRDefault="00EA6F9E" w:rsidP="00CD754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F268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Absorción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F0E7E67" w14:textId="77777777" w:rsidR="00EA6F9E" w:rsidRPr="00FD59C0" w:rsidRDefault="00EA6F9E" w:rsidP="00F268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 w:rsidRPr="00FD59C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1.</w:t>
            </w:r>
            <w:r w:rsidR="00F268F4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A13EBBE" w14:textId="77777777" w:rsidR="00EA6F9E" w:rsidRPr="00FD59C0" w:rsidRDefault="00EA2B0E" w:rsidP="00EA2B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</w:t>
            </w:r>
            <w:r w:rsidR="00EA6F9E" w:rsidRPr="00FD59C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947A5F3" w14:textId="77777777" w:rsidR="00EA6F9E" w:rsidRPr="00FD59C0" w:rsidRDefault="00F268F4" w:rsidP="00CD75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US"/>
              </w:rPr>
              <w:t>1.8</w:t>
            </w:r>
          </w:p>
        </w:tc>
      </w:tr>
    </w:tbl>
    <w:p w14:paraId="349697C7" w14:textId="77777777" w:rsidR="00EA6F9E" w:rsidRDefault="00EA6F9E" w:rsidP="00EA6F9E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p w14:paraId="10498CAE" w14:textId="77777777" w:rsidR="00F268F4" w:rsidRDefault="00F268F4" w:rsidP="00EA6F9E">
      <w:pPr>
        <w:spacing w:after="0" w:line="240" w:lineRule="auto"/>
        <w:jc w:val="both"/>
        <w:rPr>
          <w:rFonts w:eastAsiaTheme="minorEastAsia"/>
          <w:b/>
          <w:sz w:val="24"/>
          <w:szCs w:val="24"/>
        </w:rPr>
      </w:pPr>
    </w:p>
    <w:p w14:paraId="70A6AB73" w14:textId="77777777" w:rsidR="00550C8F" w:rsidRPr="00F268F4" w:rsidRDefault="00F268F4" w:rsidP="00106357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Conclusiones Finales: </w:t>
      </w:r>
      <w:r>
        <w:rPr>
          <w:sz w:val="28"/>
          <w:szCs w:val="28"/>
        </w:rPr>
        <w:t xml:space="preserve">para amaba estimaciones del mercado actual e histórico, las proyecciones confirman una absorción estimada en el orden de </w:t>
      </w:r>
      <w:r w:rsidRPr="00F268F4">
        <w:rPr>
          <w:sz w:val="28"/>
          <w:szCs w:val="28"/>
          <w:highlight w:val="yellow"/>
        </w:rPr>
        <w:t>3</w:t>
      </w:r>
      <w:r>
        <w:rPr>
          <w:sz w:val="28"/>
          <w:szCs w:val="28"/>
        </w:rPr>
        <w:t xml:space="preserve"> unidades mensuales para el desarrollo vertical y </w:t>
      </w:r>
      <w:r w:rsidRPr="00F268F4">
        <w:rPr>
          <w:sz w:val="28"/>
          <w:szCs w:val="28"/>
          <w:highlight w:val="yellow"/>
        </w:rPr>
        <w:t>2</w:t>
      </w:r>
      <w:r>
        <w:rPr>
          <w:sz w:val="28"/>
          <w:szCs w:val="28"/>
        </w:rPr>
        <w:t xml:space="preserve"> para el horizontal, con una estimación de precio por mt2 sugerida de </w:t>
      </w:r>
      <w:r w:rsidRPr="00F268F4">
        <w:rPr>
          <w:sz w:val="28"/>
          <w:szCs w:val="28"/>
          <w:highlight w:val="yellow"/>
        </w:rPr>
        <w:t>3100</w:t>
      </w:r>
      <w:r>
        <w:rPr>
          <w:sz w:val="28"/>
          <w:szCs w:val="28"/>
        </w:rPr>
        <w:t xml:space="preserve"> (vertical) y </w:t>
      </w:r>
      <w:r w:rsidRPr="00F268F4">
        <w:rPr>
          <w:sz w:val="28"/>
          <w:szCs w:val="28"/>
          <w:highlight w:val="yellow"/>
        </w:rPr>
        <w:t>2600</w:t>
      </w:r>
      <w:r>
        <w:rPr>
          <w:sz w:val="28"/>
          <w:szCs w:val="28"/>
        </w:rPr>
        <w:t xml:space="preserve"> (horizontal).</w:t>
      </w:r>
    </w:p>
    <w:sectPr w:rsidR="00550C8F" w:rsidRPr="00F268F4" w:rsidSect="00AB61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A1B1E"/>
    <w:multiLevelType w:val="hybridMultilevel"/>
    <w:tmpl w:val="17FA1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AF6"/>
    <w:multiLevelType w:val="hybridMultilevel"/>
    <w:tmpl w:val="5302C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13CA"/>
    <w:multiLevelType w:val="hybridMultilevel"/>
    <w:tmpl w:val="AE68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05D66"/>
    <w:multiLevelType w:val="hybridMultilevel"/>
    <w:tmpl w:val="9C5CE11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32A3626C"/>
    <w:multiLevelType w:val="hybridMultilevel"/>
    <w:tmpl w:val="C4F47BEA"/>
    <w:lvl w:ilvl="0" w:tplc="09708EF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567936"/>
    <w:multiLevelType w:val="hybridMultilevel"/>
    <w:tmpl w:val="A734E0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D35D3"/>
    <w:multiLevelType w:val="hybridMultilevel"/>
    <w:tmpl w:val="C4F47BEA"/>
    <w:lvl w:ilvl="0" w:tplc="09708EF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34C2E"/>
    <w:multiLevelType w:val="hybridMultilevel"/>
    <w:tmpl w:val="6A2C8D8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69E13630"/>
    <w:multiLevelType w:val="hybridMultilevel"/>
    <w:tmpl w:val="A734E0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F1"/>
    <w:rsid w:val="00010BF1"/>
    <w:rsid w:val="00011CE4"/>
    <w:rsid w:val="00014EB4"/>
    <w:rsid w:val="00035201"/>
    <w:rsid w:val="00037556"/>
    <w:rsid w:val="00040C91"/>
    <w:rsid w:val="0004740D"/>
    <w:rsid w:val="00052573"/>
    <w:rsid w:val="0005437C"/>
    <w:rsid w:val="00061F6A"/>
    <w:rsid w:val="00082DB5"/>
    <w:rsid w:val="00094D30"/>
    <w:rsid w:val="000A0562"/>
    <w:rsid w:val="000B2F39"/>
    <w:rsid w:val="000B4789"/>
    <w:rsid w:val="000B48DD"/>
    <w:rsid w:val="000C098C"/>
    <w:rsid w:val="000C5218"/>
    <w:rsid w:val="000C5773"/>
    <w:rsid w:val="000C590E"/>
    <w:rsid w:val="000D2077"/>
    <w:rsid w:val="000D78F9"/>
    <w:rsid w:val="000E5C69"/>
    <w:rsid w:val="000E65C6"/>
    <w:rsid w:val="000F07F5"/>
    <w:rsid w:val="000F37FC"/>
    <w:rsid w:val="000F3D51"/>
    <w:rsid w:val="000F720B"/>
    <w:rsid w:val="0010486F"/>
    <w:rsid w:val="00106357"/>
    <w:rsid w:val="00106F47"/>
    <w:rsid w:val="00113CD6"/>
    <w:rsid w:val="00114F99"/>
    <w:rsid w:val="001153A4"/>
    <w:rsid w:val="00144F39"/>
    <w:rsid w:val="00145831"/>
    <w:rsid w:val="00147411"/>
    <w:rsid w:val="001607AD"/>
    <w:rsid w:val="001652CB"/>
    <w:rsid w:val="00170AE8"/>
    <w:rsid w:val="00191AB1"/>
    <w:rsid w:val="00194262"/>
    <w:rsid w:val="001958ED"/>
    <w:rsid w:val="001971FB"/>
    <w:rsid w:val="001A1AF0"/>
    <w:rsid w:val="001B3A26"/>
    <w:rsid w:val="001B5B31"/>
    <w:rsid w:val="001C1424"/>
    <w:rsid w:val="001C33FE"/>
    <w:rsid w:val="001C5959"/>
    <w:rsid w:val="001D0BEE"/>
    <w:rsid w:val="001D28D3"/>
    <w:rsid w:val="001D6582"/>
    <w:rsid w:val="001E0612"/>
    <w:rsid w:val="001E2379"/>
    <w:rsid w:val="001E6AD4"/>
    <w:rsid w:val="00206488"/>
    <w:rsid w:val="00221DC8"/>
    <w:rsid w:val="002231DA"/>
    <w:rsid w:val="00225887"/>
    <w:rsid w:val="00233520"/>
    <w:rsid w:val="00245C42"/>
    <w:rsid w:val="0025277A"/>
    <w:rsid w:val="002527D9"/>
    <w:rsid w:val="0025719A"/>
    <w:rsid w:val="00260F40"/>
    <w:rsid w:val="00262184"/>
    <w:rsid w:val="0026373C"/>
    <w:rsid w:val="00275777"/>
    <w:rsid w:val="002C5223"/>
    <w:rsid w:val="002C541E"/>
    <w:rsid w:val="002C79D9"/>
    <w:rsid w:val="002D05D5"/>
    <w:rsid w:val="002D176F"/>
    <w:rsid w:val="002D349D"/>
    <w:rsid w:val="002D567C"/>
    <w:rsid w:val="002E0AC3"/>
    <w:rsid w:val="002E4628"/>
    <w:rsid w:val="002E517F"/>
    <w:rsid w:val="002F2882"/>
    <w:rsid w:val="0030283C"/>
    <w:rsid w:val="00314568"/>
    <w:rsid w:val="003157B6"/>
    <w:rsid w:val="003157BB"/>
    <w:rsid w:val="00320823"/>
    <w:rsid w:val="00327778"/>
    <w:rsid w:val="00333780"/>
    <w:rsid w:val="003530F0"/>
    <w:rsid w:val="00375F4D"/>
    <w:rsid w:val="0038253A"/>
    <w:rsid w:val="003879AB"/>
    <w:rsid w:val="003901EA"/>
    <w:rsid w:val="003A792A"/>
    <w:rsid w:val="003A7BED"/>
    <w:rsid w:val="003E4481"/>
    <w:rsid w:val="003F2D27"/>
    <w:rsid w:val="004058FF"/>
    <w:rsid w:val="00412DAA"/>
    <w:rsid w:val="0042298E"/>
    <w:rsid w:val="00431238"/>
    <w:rsid w:val="00432BC0"/>
    <w:rsid w:val="004348D8"/>
    <w:rsid w:val="00445E7B"/>
    <w:rsid w:val="00447C66"/>
    <w:rsid w:val="00457407"/>
    <w:rsid w:val="00457E9D"/>
    <w:rsid w:val="00463FE7"/>
    <w:rsid w:val="00471CB0"/>
    <w:rsid w:val="00473C54"/>
    <w:rsid w:val="00474B72"/>
    <w:rsid w:val="00487493"/>
    <w:rsid w:val="004966D5"/>
    <w:rsid w:val="004A25BE"/>
    <w:rsid w:val="004A591F"/>
    <w:rsid w:val="004B1B2C"/>
    <w:rsid w:val="004B345C"/>
    <w:rsid w:val="004B4332"/>
    <w:rsid w:val="004D6489"/>
    <w:rsid w:val="004D7A16"/>
    <w:rsid w:val="004E0A09"/>
    <w:rsid w:val="004E1602"/>
    <w:rsid w:val="004E3049"/>
    <w:rsid w:val="004E35C9"/>
    <w:rsid w:val="004E3D2E"/>
    <w:rsid w:val="004E6EBC"/>
    <w:rsid w:val="004E7A9F"/>
    <w:rsid w:val="00522081"/>
    <w:rsid w:val="00536C83"/>
    <w:rsid w:val="00536ED5"/>
    <w:rsid w:val="005402FB"/>
    <w:rsid w:val="00541AF4"/>
    <w:rsid w:val="005428E1"/>
    <w:rsid w:val="005445F4"/>
    <w:rsid w:val="00544748"/>
    <w:rsid w:val="00547F49"/>
    <w:rsid w:val="005508F3"/>
    <w:rsid w:val="00550C8F"/>
    <w:rsid w:val="00557DA5"/>
    <w:rsid w:val="00580394"/>
    <w:rsid w:val="00584F52"/>
    <w:rsid w:val="00594687"/>
    <w:rsid w:val="00594F71"/>
    <w:rsid w:val="005950C5"/>
    <w:rsid w:val="005A3444"/>
    <w:rsid w:val="005A4069"/>
    <w:rsid w:val="005A5BB9"/>
    <w:rsid w:val="005A6D5C"/>
    <w:rsid w:val="005B084E"/>
    <w:rsid w:val="005B2128"/>
    <w:rsid w:val="005B30DB"/>
    <w:rsid w:val="005C0125"/>
    <w:rsid w:val="005C0B85"/>
    <w:rsid w:val="005C41C2"/>
    <w:rsid w:val="005C4FE4"/>
    <w:rsid w:val="005C7764"/>
    <w:rsid w:val="005D5F19"/>
    <w:rsid w:val="005E32A5"/>
    <w:rsid w:val="005F1C90"/>
    <w:rsid w:val="005F362C"/>
    <w:rsid w:val="006014BA"/>
    <w:rsid w:val="00606718"/>
    <w:rsid w:val="00611489"/>
    <w:rsid w:val="0062134C"/>
    <w:rsid w:val="00622522"/>
    <w:rsid w:val="00624242"/>
    <w:rsid w:val="00626503"/>
    <w:rsid w:val="00627E44"/>
    <w:rsid w:val="00630B98"/>
    <w:rsid w:val="00661F21"/>
    <w:rsid w:val="006711C1"/>
    <w:rsid w:val="00671679"/>
    <w:rsid w:val="00685595"/>
    <w:rsid w:val="00687135"/>
    <w:rsid w:val="006B7D18"/>
    <w:rsid w:val="006D318F"/>
    <w:rsid w:val="00702115"/>
    <w:rsid w:val="00707ECD"/>
    <w:rsid w:val="0071176A"/>
    <w:rsid w:val="007226B3"/>
    <w:rsid w:val="0073084A"/>
    <w:rsid w:val="00733EA4"/>
    <w:rsid w:val="00740272"/>
    <w:rsid w:val="0074262F"/>
    <w:rsid w:val="0074557C"/>
    <w:rsid w:val="007527BD"/>
    <w:rsid w:val="00765249"/>
    <w:rsid w:val="00775772"/>
    <w:rsid w:val="00782358"/>
    <w:rsid w:val="007836BB"/>
    <w:rsid w:val="00787020"/>
    <w:rsid w:val="00787639"/>
    <w:rsid w:val="007A2F1B"/>
    <w:rsid w:val="007A3869"/>
    <w:rsid w:val="007B1E13"/>
    <w:rsid w:val="007B416E"/>
    <w:rsid w:val="007C2AD5"/>
    <w:rsid w:val="007C6773"/>
    <w:rsid w:val="007D0E2A"/>
    <w:rsid w:val="007E2A46"/>
    <w:rsid w:val="007E49EF"/>
    <w:rsid w:val="007F2DF1"/>
    <w:rsid w:val="00807C30"/>
    <w:rsid w:val="00824FE0"/>
    <w:rsid w:val="00847354"/>
    <w:rsid w:val="0084742C"/>
    <w:rsid w:val="00847F3F"/>
    <w:rsid w:val="00851A0A"/>
    <w:rsid w:val="008529B6"/>
    <w:rsid w:val="0085337A"/>
    <w:rsid w:val="00854531"/>
    <w:rsid w:val="008561EE"/>
    <w:rsid w:val="00863973"/>
    <w:rsid w:val="008771A3"/>
    <w:rsid w:val="0088052B"/>
    <w:rsid w:val="00880E60"/>
    <w:rsid w:val="0089297E"/>
    <w:rsid w:val="008A0E66"/>
    <w:rsid w:val="008A3CB8"/>
    <w:rsid w:val="008B5D58"/>
    <w:rsid w:val="008B6B4D"/>
    <w:rsid w:val="008B78F0"/>
    <w:rsid w:val="008D4FD7"/>
    <w:rsid w:val="008D717A"/>
    <w:rsid w:val="008E063F"/>
    <w:rsid w:val="008F308E"/>
    <w:rsid w:val="008F6076"/>
    <w:rsid w:val="00906C94"/>
    <w:rsid w:val="009110DC"/>
    <w:rsid w:val="0092476C"/>
    <w:rsid w:val="00925A7D"/>
    <w:rsid w:val="0093215E"/>
    <w:rsid w:val="009326DD"/>
    <w:rsid w:val="009368D7"/>
    <w:rsid w:val="00941FA2"/>
    <w:rsid w:val="00943227"/>
    <w:rsid w:val="00953630"/>
    <w:rsid w:val="009642AB"/>
    <w:rsid w:val="00965605"/>
    <w:rsid w:val="0096673B"/>
    <w:rsid w:val="009804B8"/>
    <w:rsid w:val="00985CE6"/>
    <w:rsid w:val="009B3248"/>
    <w:rsid w:val="009B7F3A"/>
    <w:rsid w:val="009E1926"/>
    <w:rsid w:val="009E235C"/>
    <w:rsid w:val="009F38F1"/>
    <w:rsid w:val="009F5B39"/>
    <w:rsid w:val="00A007DE"/>
    <w:rsid w:val="00A06F47"/>
    <w:rsid w:val="00A16A66"/>
    <w:rsid w:val="00A24922"/>
    <w:rsid w:val="00A2576A"/>
    <w:rsid w:val="00A316AA"/>
    <w:rsid w:val="00A31BF0"/>
    <w:rsid w:val="00A44604"/>
    <w:rsid w:val="00A81B11"/>
    <w:rsid w:val="00A83A35"/>
    <w:rsid w:val="00A8512F"/>
    <w:rsid w:val="00AB4935"/>
    <w:rsid w:val="00AB4EEB"/>
    <w:rsid w:val="00AB6178"/>
    <w:rsid w:val="00AD3956"/>
    <w:rsid w:val="00AD742B"/>
    <w:rsid w:val="00AE1E6A"/>
    <w:rsid w:val="00B00D63"/>
    <w:rsid w:val="00B027F1"/>
    <w:rsid w:val="00B0312A"/>
    <w:rsid w:val="00B1382E"/>
    <w:rsid w:val="00B26934"/>
    <w:rsid w:val="00B30D6E"/>
    <w:rsid w:val="00B43EC4"/>
    <w:rsid w:val="00B54D58"/>
    <w:rsid w:val="00B62977"/>
    <w:rsid w:val="00B80A2B"/>
    <w:rsid w:val="00B83C93"/>
    <w:rsid w:val="00B92584"/>
    <w:rsid w:val="00BA0C1E"/>
    <w:rsid w:val="00BA3A5A"/>
    <w:rsid w:val="00BA597C"/>
    <w:rsid w:val="00BB1093"/>
    <w:rsid w:val="00BB13AD"/>
    <w:rsid w:val="00BB284B"/>
    <w:rsid w:val="00BB5B29"/>
    <w:rsid w:val="00BC5ECC"/>
    <w:rsid w:val="00BD2985"/>
    <w:rsid w:val="00BE14E8"/>
    <w:rsid w:val="00BE6F82"/>
    <w:rsid w:val="00BF1D4B"/>
    <w:rsid w:val="00C01711"/>
    <w:rsid w:val="00C038C7"/>
    <w:rsid w:val="00C11E08"/>
    <w:rsid w:val="00C11FC5"/>
    <w:rsid w:val="00C37D10"/>
    <w:rsid w:val="00C47509"/>
    <w:rsid w:val="00C50029"/>
    <w:rsid w:val="00C54E52"/>
    <w:rsid w:val="00C63520"/>
    <w:rsid w:val="00C67801"/>
    <w:rsid w:val="00C7251A"/>
    <w:rsid w:val="00C726F1"/>
    <w:rsid w:val="00C73374"/>
    <w:rsid w:val="00C753A7"/>
    <w:rsid w:val="00C9000B"/>
    <w:rsid w:val="00C9504B"/>
    <w:rsid w:val="00C967F5"/>
    <w:rsid w:val="00CA5EEB"/>
    <w:rsid w:val="00CB48B1"/>
    <w:rsid w:val="00CB48CA"/>
    <w:rsid w:val="00CB5B2A"/>
    <w:rsid w:val="00CC0733"/>
    <w:rsid w:val="00CD2AFE"/>
    <w:rsid w:val="00CD7543"/>
    <w:rsid w:val="00CF025A"/>
    <w:rsid w:val="00D07C9C"/>
    <w:rsid w:val="00D11B7D"/>
    <w:rsid w:val="00D17086"/>
    <w:rsid w:val="00D218F9"/>
    <w:rsid w:val="00D22134"/>
    <w:rsid w:val="00D252A5"/>
    <w:rsid w:val="00D27603"/>
    <w:rsid w:val="00D27850"/>
    <w:rsid w:val="00D33861"/>
    <w:rsid w:val="00D43EAD"/>
    <w:rsid w:val="00D46C62"/>
    <w:rsid w:val="00D51FDC"/>
    <w:rsid w:val="00D52134"/>
    <w:rsid w:val="00D54E64"/>
    <w:rsid w:val="00D622B5"/>
    <w:rsid w:val="00D64DCA"/>
    <w:rsid w:val="00D6776B"/>
    <w:rsid w:val="00D739B2"/>
    <w:rsid w:val="00D84CA6"/>
    <w:rsid w:val="00D873C7"/>
    <w:rsid w:val="00D96A12"/>
    <w:rsid w:val="00DA114D"/>
    <w:rsid w:val="00DA259C"/>
    <w:rsid w:val="00DB429F"/>
    <w:rsid w:val="00DB6594"/>
    <w:rsid w:val="00DC5387"/>
    <w:rsid w:val="00DD46A6"/>
    <w:rsid w:val="00DD49D6"/>
    <w:rsid w:val="00DE390D"/>
    <w:rsid w:val="00DE4923"/>
    <w:rsid w:val="00DE5212"/>
    <w:rsid w:val="00DF184A"/>
    <w:rsid w:val="00DF40F6"/>
    <w:rsid w:val="00DF4CCB"/>
    <w:rsid w:val="00E03DCE"/>
    <w:rsid w:val="00E12714"/>
    <w:rsid w:val="00E1440E"/>
    <w:rsid w:val="00E20502"/>
    <w:rsid w:val="00E25F1A"/>
    <w:rsid w:val="00E302D8"/>
    <w:rsid w:val="00E3383B"/>
    <w:rsid w:val="00E44FD5"/>
    <w:rsid w:val="00E507FC"/>
    <w:rsid w:val="00E6041D"/>
    <w:rsid w:val="00E6233B"/>
    <w:rsid w:val="00E6580C"/>
    <w:rsid w:val="00E76CDB"/>
    <w:rsid w:val="00E86F27"/>
    <w:rsid w:val="00EA0435"/>
    <w:rsid w:val="00EA2B0E"/>
    <w:rsid w:val="00EA6F9E"/>
    <w:rsid w:val="00EC43A6"/>
    <w:rsid w:val="00ED3C24"/>
    <w:rsid w:val="00ED4960"/>
    <w:rsid w:val="00ED6FE8"/>
    <w:rsid w:val="00EE0C53"/>
    <w:rsid w:val="00EE30E8"/>
    <w:rsid w:val="00EE3836"/>
    <w:rsid w:val="00EF1AC1"/>
    <w:rsid w:val="00EF4E9F"/>
    <w:rsid w:val="00F07BCE"/>
    <w:rsid w:val="00F11454"/>
    <w:rsid w:val="00F12065"/>
    <w:rsid w:val="00F268F4"/>
    <w:rsid w:val="00F329C7"/>
    <w:rsid w:val="00F40D76"/>
    <w:rsid w:val="00F47EB2"/>
    <w:rsid w:val="00F50870"/>
    <w:rsid w:val="00F51482"/>
    <w:rsid w:val="00F51BB3"/>
    <w:rsid w:val="00F5598D"/>
    <w:rsid w:val="00F61FB0"/>
    <w:rsid w:val="00F66AC0"/>
    <w:rsid w:val="00F7170A"/>
    <w:rsid w:val="00F82E4B"/>
    <w:rsid w:val="00FA0684"/>
    <w:rsid w:val="00FA7F72"/>
    <w:rsid w:val="00FB2686"/>
    <w:rsid w:val="00FD59C0"/>
    <w:rsid w:val="00FE489F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49E59"/>
  <w15:docId w15:val="{39776A1F-F3FD-4B7F-B179-23200882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38F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8253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35C9"/>
    <w:pPr>
      <w:ind w:left="720"/>
      <w:contextualSpacing/>
    </w:pPr>
  </w:style>
  <w:style w:type="table" w:styleId="Tablaconcuadrcula">
    <w:name w:val="Table Grid"/>
    <w:basedOn w:val="Tablanormal"/>
    <w:uiPriority w:val="39"/>
    <w:rsid w:val="007E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B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686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1C142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11E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E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E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E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E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hfonline.sharepoint.com/:x:/s/DocumentosSitiosPublicosSHF/EbUGAkYeNZ5IhbVnNEh-Ti0BxqAXNzgCFtrCB9dv6eT7BQ?e=TEQF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0EC-EA03-4F88-92FE-335BBDA3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1355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Fernando Fuentevilla</cp:lastModifiedBy>
  <cp:revision>2</cp:revision>
  <cp:lastPrinted>2023-06-28T20:10:00Z</cp:lastPrinted>
  <dcterms:created xsi:type="dcterms:W3CDTF">2023-11-21T18:12:00Z</dcterms:created>
  <dcterms:modified xsi:type="dcterms:W3CDTF">2023-11-21T18:12:00Z</dcterms:modified>
</cp:coreProperties>
</file>