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8AC45" w14:textId="4DD026CE" w:rsidR="00463099" w:rsidRPr="00463099" w:rsidRDefault="00463099" w:rsidP="00463099">
      <w:pPr>
        <w:rPr>
          <w:rFonts w:ascii="Roboto Thin" w:hAnsi="Roboto Thin"/>
        </w:rPr>
      </w:pPr>
      <w:r w:rsidRPr="00463099">
        <w:rPr>
          <w:rFonts w:ascii="Roboto Thin" w:hAnsi="Roboto Thin"/>
        </w:rPr>
        <w:t xml:space="preserve">Contexto Aguascalientes </w:t>
      </w:r>
      <w:r w:rsidRPr="00463099">
        <w:rPr>
          <w:rFonts w:ascii="Roboto Thin" w:hAnsi="Roboto Thin"/>
        </w:rPr>
        <w:br/>
      </w:r>
      <w:r w:rsidRPr="00463099">
        <w:rPr>
          <w:rFonts w:ascii="Roboto Thin" w:hAnsi="Roboto Thin"/>
        </w:rPr>
        <w:br/>
        <w:t xml:space="preserve">alrededor </w:t>
      </w:r>
      <w:r w:rsidRPr="00463099">
        <w:rPr>
          <w:rFonts w:ascii="Roboto Thin" w:hAnsi="Roboto Thin"/>
          <w:b/>
          <w:bCs/>
        </w:rPr>
        <w:t>del 20% de los vehículos fabricados en México</w:t>
      </w:r>
      <w:r w:rsidRPr="00463099">
        <w:rPr>
          <w:rFonts w:ascii="Roboto Thin" w:hAnsi="Roboto Thin"/>
        </w:rPr>
        <w:t xml:space="preserve"> provienen de Aguascalientes, con aproximadamente </w:t>
      </w:r>
      <w:r w:rsidRPr="00463099">
        <w:rPr>
          <w:rFonts w:ascii="Roboto Thin" w:hAnsi="Roboto Thin"/>
          <w:b/>
          <w:bCs/>
        </w:rPr>
        <w:t>230 empresas automotrices operando en el estado</w:t>
      </w:r>
    </w:p>
    <w:p w14:paraId="1A29A524" w14:textId="0395A411" w:rsidR="000434A7" w:rsidRDefault="00463099" w:rsidP="00463099">
      <w:pPr>
        <w:rPr>
          <w:rFonts w:ascii="Roboto Thin" w:hAnsi="Roboto Thin"/>
        </w:rPr>
      </w:pPr>
      <w:r w:rsidRPr="00463099">
        <w:rPr>
          <w:rFonts w:ascii="Roboto Thin" w:hAnsi="Roboto Thin"/>
        </w:rPr>
        <w:t xml:space="preserve">La actual guerra arancelaria, con la imposición de un </w:t>
      </w:r>
      <w:r w:rsidRPr="00463099">
        <w:rPr>
          <w:rFonts w:ascii="Roboto Thin" w:hAnsi="Roboto Thin"/>
          <w:b/>
          <w:bCs/>
        </w:rPr>
        <w:t>25% de aranceles</w:t>
      </w:r>
      <w:r w:rsidRPr="00463099">
        <w:rPr>
          <w:rFonts w:ascii="Roboto Thin" w:hAnsi="Roboto Thin"/>
        </w:rPr>
        <w:t xml:space="preserve"> por parte de Estados Unidos a las importaciones desde México, estos aranceles </w:t>
      </w:r>
      <w:r w:rsidRPr="00463099">
        <w:rPr>
          <w:rFonts w:ascii="Roboto Thin" w:hAnsi="Roboto Thin"/>
          <w:b/>
          <w:bCs/>
        </w:rPr>
        <w:t>aumentan los costos de producción</w:t>
      </w:r>
      <w:r w:rsidRPr="00463099">
        <w:rPr>
          <w:rFonts w:ascii="Roboto Thin" w:hAnsi="Roboto Thin"/>
        </w:rPr>
        <w:t xml:space="preserve"> para las plantas automotrices locales, lo que podría </w:t>
      </w:r>
      <w:r w:rsidRPr="00463099">
        <w:rPr>
          <w:rFonts w:ascii="Roboto Thin" w:hAnsi="Roboto Thin"/>
          <w:b/>
          <w:bCs/>
        </w:rPr>
        <w:t>reducir la competitividad de los vehículos</w:t>
      </w:r>
      <w:r w:rsidRPr="00463099">
        <w:rPr>
          <w:rFonts w:ascii="Roboto Thin" w:hAnsi="Roboto Thin"/>
        </w:rPr>
        <w:t xml:space="preserve"> ensamblados en la región y disminuir la demanda de producción.</w:t>
      </w:r>
    </w:p>
    <w:p w14:paraId="6E8F450F" w14:textId="77777777" w:rsidR="00A969B1" w:rsidRPr="000E46D9" w:rsidRDefault="00A969B1" w:rsidP="00A969B1">
      <w:pPr>
        <w:rPr>
          <w:rFonts w:ascii="Roboto Thin" w:hAnsi="Roboto Thin"/>
          <w:b/>
          <w:bCs/>
        </w:rPr>
      </w:pPr>
      <w:r w:rsidRPr="000E46D9">
        <w:rPr>
          <w:rFonts w:ascii="Roboto Thin" w:hAnsi="Roboto Thin"/>
          <w:b/>
          <w:bCs/>
        </w:rPr>
        <w:t>Tasa de desempleo en Aguascalientes:</w:t>
      </w:r>
    </w:p>
    <w:p w14:paraId="09594903" w14:textId="344EAD12" w:rsidR="00A969B1" w:rsidRPr="000E46D9" w:rsidRDefault="00A969B1" w:rsidP="000E46D9">
      <w:pPr>
        <w:pStyle w:val="Prrafodelista"/>
        <w:numPr>
          <w:ilvl w:val="0"/>
          <w:numId w:val="1"/>
        </w:numPr>
        <w:rPr>
          <w:rFonts w:ascii="Roboto Thin" w:hAnsi="Roboto Thin"/>
        </w:rPr>
      </w:pPr>
      <w:r w:rsidRPr="000E46D9">
        <w:rPr>
          <w:rFonts w:ascii="Roboto Thin" w:hAnsi="Roboto Thin"/>
        </w:rPr>
        <w:t xml:space="preserve">En el primer trimestre de 2024, la tasa de desempleo en Aguascalientes fue del 3.36%. </w:t>
      </w:r>
    </w:p>
    <w:p w14:paraId="4152B59B" w14:textId="6AD281F5" w:rsidR="00A969B1" w:rsidRPr="000E46D9" w:rsidRDefault="00A969B1" w:rsidP="000E46D9">
      <w:pPr>
        <w:pStyle w:val="Prrafodelista"/>
        <w:numPr>
          <w:ilvl w:val="0"/>
          <w:numId w:val="1"/>
        </w:numPr>
        <w:rPr>
          <w:rFonts w:ascii="Roboto Thin" w:hAnsi="Roboto Thin"/>
        </w:rPr>
      </w:pPr>
      <w:r w:rsidRPr="000E46D9">
        <w:rPr>
          <w:rFonts w:ascii="Roboto Thin" w:hAnsi="Roboto Thin"/>
        </w:rPr>
        <w:t xml:space="preserve">Para el tercer trimestre de 2024, esta </w:t>
      </w:r>
      <w:r w:rsidRPr="00727F98">
        <w:rPr>
          <w:rFonts w:ascii="Roboto Thin" w:hAnsi="Roboto Thin"/>
          <w:b/>
          <w:bCs/>
        </w:rPr>
        <w:t>tasa aumentó al 4.23%.</w:t>
      </w:r>
      <w:r w:rsidRPr="000E46D9">
        <w:rPr>
          <w:rFonts w:ascii="Roboto Thin" w:hAnsi="Roboto Thin"/>
        </w:rPr>
        <w:t xml:space="preserve"> </w:t>
      </w:r>
    </w:p>
    <w:p w14:paraId="1D0DDA05" w14:textId="77777777" w:rsidR="00A969B1" w:rsidRPr="000E46D9" w:rsidRDefault="00A969B1" w:rsidP="00A969B1">
      <w:pPr>
        <w:rPr>
          <w:rFonts w:ascii="Roboto Thin" w:hAnsi="Roboto Thin"/>
        </w:rPr>
      </w:pPr>
    </w:p>
    <w:p w14:paraId="3771BC12" w14:textId="4CA47E8F" w:rsidR="00A969B1" w:rsidRPr="000E46D9" w:rsidRDefault="00A969B1" w:rsidP="00A969B1">
      <w:pPr>
        <w:rPr>
          <w:rFonts w:ascii="Roboto Thin" w:hAnsi="Roboto Thin"/>
          <w:b/>
          <w:bCs/>
        </w:rPr>
      </w:pPr>
      <w:r w:rsidRPr="000E46D9">
        <w:rPr>
          <w:rFonts w:ascii="Roboto Thin" w:hAnsi="Roboto Thin"/>
          <w:b/>
          <w:bCs/>
        </w:rPr>
        <w:t>Población Ocupada</w:t>
      </w:r>
      <w:r w:rsidR="00727F98">
        <w:rPr>
          <w:rFonts w:ascii="Roboto Thin" w:hAnsi="Roboto Thin"/>
          <w:b/>
          <w:bCs/>
        </w:rPr>
        <w:t xml:space="preserve"> (Personas con empleo)</w:t>
      </w:r>
      <w:r w:rsidRPr="000E46D9">
        <w:rPr>
          <w:rFonts w:ascii="Roboto Thin" w:hAnsi="Roboto Thin"/>
          <w:b/>
          <w:bCs/>
        </w:rPr>
        <w:t>:</w:t>
      </w:r>
    </w:p>
    <w:p w14:paraId="2148D89B" w14:textId="069D15E5" w:rsidR="00A969B1" w:rsidRPr="000E46D9" w:rsidRDefault="00A969B1" w:rsidP="000E46D9">
      <w:pPr>
        <w:pStyle w:val="Prrafodelista"/>
        <w:numPr>
          <w:ilvl w:val="0"/>
          <w:numId w:val="2"/>
        </w:numPr>
        <w:rPr>
          <w:rFonts w:ascii="Roboto Thin" w:hAnsi="Roboto Thin"/>
        </w:rPr>
      </w:pPr>
      <w:r w:rsidRPr="000E46D9">
        <w:rPr>
          <w:rFonts w:ascii="Roboto Thin" w:hAnsi="Roboto Thin"/>
        </w:rPr>
        <w:t xml:space="preserve">En el tercer trimestre de 2023, la población ocupada en Aguascalientes fue de 666,006 personas, </w:t>
      </w:r>
    </w:p>
    <w:p w14:paraId="02AA7287" w14:textId="1DEF15C9" w:rsidR="00A969B1" w:rsidRPr="000E46D9" w:rsidRDefault="00A969B1" w:rsidP="000E46D9">
      <w:pPr>
        <w:pStyle w:val="Prrafodelista"/>
        <w:numPr>
          <w:ilvl w:val="0"/>
          <w:numId w:val="2"/>
        </w:numPr>
        <w:rPr>
          <w:rFonts w:ascii="Roboto Thin" w:hAnsi="Roboto Thin"/>
        </w:rPr>
      </w:pPr>
      <w:r w:rsidRPr="000E46D9">
        <w:rPr>
          <w:rFonts w:ascii="Roboto Thin" w:hAnsi="Roboto Thin"/>
        </w:rPr>
        <w:t xml:space="preserve">En el tercer trimestre de 2024, la población ocupada en Aguascalientes fue de </w:t>
      </w:r>
      <w:r w:rsidRPr="00727F98">
        <w:rPr>
          <w:rFonts w:ascii="Roboto Thin" w:hAnsi="Roboto Thin"/>
          <w:b/>
          <w:bCs/>
        </w:rPr>
        <w:t>643,000 personas</w:t>
      </w:r>
      <w:r w:rsidRPr="000E46D9">
        <w:rPr>
          <w:rFonts w:ascii="Roboto Thin" w:hAnsi="Roboto Thin"/>
        </w:rPr>
        <w:t xml:space="preserve">. </w:t>
      </w:r>
    </w:p>
    <w:p w14:paraId="5FF84BB4" w14:textId="59FB4E1D" w:rsidR="00A969B1" w:rsidRPr="000E46D9" w:rsidRDefault="00727F98" w:rsidP="00A969B1">
      <w:pPr>
        <w:rPr>
          <w:rFonts w:ascii="Roboto Thin" w:hAnsi="Roboto Thin"/>
          <w:b/>
          <w:bCs/>
        </w:rPr>
      </w:pPr>
      <w:r w:rsidRPr="000E46D9">
        <w:rPr>
          <w:rFonts w:ascii="Roboto Thin" w:hAnsi="Roboto Thin"/>
          <w:b/>
          <w:bCs/>
        </w:rPr>
        <w:t>Total,</w:t>
      </w:r>
      <w:r w:rsidR="00A969B1" w:rsidRPr="000E46D9">
        <w:rPr>
          <w:rFonts w:ascii="Roboto Thin" w:hAnsi="Roboto Thin"/>
          <w:b/>
          <w:bCs/>
        </w:rPr>
        <w:t xml:space="preserve"> de establecimientos en Aguascalientes según el DENUE:</w:t>
      </w:r>
    </w:p>
    <w:p w14:paraId="537D2E1B" w14:textId="6EF4C7E2" w:rsidR="00A969B1" w:rsidRPr="000E46D9" w:rsidRDefault="00A969B1" w:rsidP="000E46D9">
      <w:pPr>
        <w:pStyle w:val="Prrafodelista"/>
        <w:numPr>
          <w:ilvl w:val="0"/>
          <w:numId w:val="3"/>
        </w:numPr>
        <w:rPr>
          <w:rFonts w:ascii="Roboto Thin" w:hAnsi="Roboto Thin"/>
        </w:rPr>
      </w:pPr>
      <w:r w:rsidRPr="000E46D9">
        <w:rPr>
          <w:rFonts w:ascii="Roboto Thin" w:hAnsi="Roboto Thin"/>
        </w:rPr>
        <w:t xml:space="preserve">Mayo de 2024: </w:t>
      </w:r>
      <w:r w:rsidRPr="00727F98">
        <w:rPr>
          <w:rFonts w:ascii="Roboto Thin" w:hAnsi="Roboto Thin"/>
          <w:b/>
          <w:bCs/>
        </w:rPr>
        <w:t>62,011 establecimientos.</w:t>
      </w:r>
      <w:r w:rsidRPr="000E46D9">
        <w:rPr>
          <w:rFonts w:ascii="Roboto Thin" w:hAnsi="Roboto Thin"/>
        </w:rPr>
        <w:t xml:space="preserve"> </w:t>
      </w:r>
    </w:p>
    <w:p w14:paraId="045E9A01" w14:textId="17BAC675" w:rsidR="00A969B1" w:rsidRPr="00727F98" w:rsidRDefault="00A969B1" w:rsidP="000E46D9">
      <w:pPr>
        <w:pStyle w:val="Prrafodelista"/>
        <w:numPr>
          <w:ilvl w:val="0"/>
          <w:numId w:val="3"/>
        </w:numPr>
        <w:rPr>
          <w:rFonts w:ascii="Roboto Thin" w:hAnsi="Roboto Thin"/>
          <w:b/>
          <w:bCs/>
        </w:rPr>
      </w:pPr>
      <w:r w:rsidRPr="000E46D9">
        <w:rPr>
          <w:rFonts w:ascii="Roboto Thin" w:hAnsi="Roboto Thin"/>
        </w:rPr>
        <w:t xml:space="preserve">Noviembre de 2024: </w:t>
      </w:r>
      <w:r w:rsidRPr="00727F98">
        <w:rPr>
          <w:rFonts w:ascii="Roboto Thin" w:hAnsi="Roboto Thin"/>
          <w:b/>
          <w:bCs/>
        </w:rPr>
        <w:t>61,782 establecimientos.</w:t>
      </w:r>
    </w:p>
    <w:p w14:paraId="3C46C3D2" w14:textId="77777777" w:rsidR="00A969B1" w:rsidRPr="000E46D9" w:rsidRDefault="00A969B1" w:rsidP="00A969B1">
      <w:pPr>
        <w:rPr>
          <w:rFonts w:ascii="Roboto Thin" w:hAnsi="Roboto Thin"/>
        </w:rPr>
      </w:pPr>
    </w:p>
    <w:p w14:paraId="081EA91C" w14:textId="54CFC0B5" w:rsidR="00A969B1" w:rsidRPr="00AF3DE7" w:rsidRDefault="00A969B1" w:rsidP="00A969B1">
      <w:pPr>
        <w:rPr>
          <w:rFonts w:ascii="Roboto Thin" w:hAnsi="Roboto Thin"/>
          <w:b/>
          <w:bCs/>
        </w:rPr>
      </w:pPr>
      <w:r w:rsidRPr="000E46D9">
        <w:rPr>
          <w:rFonts w:ascii="Roboto Thin" w:hAnsi="Roboto Thin"/>
          <w:b/>
          <w:bCs/>
        </w:rPr>
        <w:t>Inversión Extranjera Directa (IED)</w:t>
      </w:r>
      <w:r w:rsidR="00AF3DE7">
        <w:rPr>
          <w:rFonts w:ascii="Roboto Thin" w:hAnsi="Roboto Thin"/>
          <w:b/>
          <w:bCs/>
        </w:rPr>
        <w:t xml:space="preserve"> en </w:t>
      </w:r>
      <w:r w:rsidRPr="00AF3DE7">
        <w:rPr>
          <w:rFonts w:ascii="Roboto Thin" w:hAnsi="Roboto Thin"/>
          <w:b/>
          <w:bCs/>
        </w:rPr>
        <w:t xml:space="preserve">2024: </w:t>
      </w:r>
    </w:p>
    <w:p w14:paraId="1B4A4CC0" w14:textId="23372D63" w:rsidR="00A969B1" w:rsidRPr="002271A7" w:rsidRDefault="00A969B1" w:rsidP="00AF3DE7">
      <w:pPr>
        <w:pStyle w:val="Prrafodelista"/>
        <w:numPr>
          <w:ilvl w:val="0"/>
          <w:numId w:val="4"/>
        </w:numPr>
        <w:rPr>
          <w:rFonts w:ascii="Roboto Thin" w:hAnsi="Roboto Thin"/>
          <w:b/>
          <w:bCs/>
        </w:rPr>
      </w:pPr>
      <w:r w:rsidRPr="00AF3DE7">
        <w:rPr>
          <w:rFonts w:ascii="Roboto Thin" w:hAnsi="Roboto Thin"/>
        </w:rPr>
        <w:t xml:space="preserve">Durante el </w:t>
      </w:r>
      <w:r w:rsidRPr="002271A7">
        <w:rPr>
          <w:rFonts w:ascii="Roboto Thin" w:hAnsi="Roboto Thin"/>
          <w:b/>
          <w:bCs/>
        </w:rPr>
        <w:t>primer semestre</w:t>
      </w:r>
      <w:r w:rsidRPr="00AF3DE7">
        <w:rPr>
          <w:rFonts w:ascii="Roboto Thin" w:hAnsi="Roboto Thin"/>
        </w:rPr>
        <w:t xml:space="preserve">, la IED fue de </w:t>
      </w:r>
      <w:r w:rsidRPr="002271A7">
        <w:rPr>
          <w:rFonts w:ascii="Roboto Thin" w:hAnsi="Roboto Thin"/>
          <w:b/>
          <w:bCs/>
        </w:rPr>
        <w:t>394.13 millones de dólares</w:t>
      </w:r>
      <w:r w:rsidRPr="00AF3DE7">
        <w:rPr>
          <w:rFonts w:ascii="Roboto Thin" w:hAnsi="Roboto Thin"/>
        </w:rPr>
        <w:t xml:space="preserve">, una disminución significativa en comparación con los </w:t>
      </w:r>
      <w:r w:rsidRPr="002271A7">
        <w:rPr>
          <w:rFonts w:ascii="Roboto Thin" w:hAnsi="Roboto Thin"/>
          <w:b/>
          <w:bCs/>
        </w:rPr>
        <w:t xml:space="preserve">1,207.64 millones de dólares del mismo período en 2023. </w:t>
      </w:r>
    </w:p>
    <w:p w14:paraId="19F46A5F" w14:textId="7922B434" w:rsidR="00A969B1" w:rsidRDefault="00A969B1" w:rsidP="00AF3DE7">
      <w:pPr>
        <w:pStyle w:val="Prrafodelista"/>
        <w:numPr>
          <w:ilvl w:val="0"/>
          <w:numId w:val="4"/>
        </w:numPr>
        <w:rPr>
          <w:rFonts w:ascii="Roboto Thin" w:hAnsi="Roboto Thin"/>
        </w:rPr>
      </w:pPr>
      <w:r w:rsidRPr="00AF3DE7">
        <w:rPr>
          <w:rFonts w:ascii="Roboto Thin" w:hAnsi="Roboto Thin"/>
        </w:rPr>
        <w:t xml:space="preserve">Durante el </w:t>
      </w:r>
      <w:r w:rsidRPr="002271A7">
        <w:rPr>
          <w:rFonts w:ascii="Roboto Thin" w:hAnsi="Roboto Thin"/>
          <w:b/>
          <w:bCs/>
        </w:rPr>
        <w:t>segundo semestre</w:t>
      </w:r>
      <w:r w:rsidRPr="00AF3DE7">
        <w:rPr>
          <w:rFonts w:ascii="Roboto Thin" w:hAnsi="Roboto Thin"/>
        </w:rPr>
        <w:t xml:space="preserve"> la Inversión Extranjera Directa (IED) en Aguascalientes </w:t>
      </w:r>
      <w:r w:rsidRPr="002271A7">
        <w:rPr>
          <w:rFonts w:ascii="Roboto Thin" w:hAnsi="Roboto Thin"/>
          <w:b/>
          <w:bCs/>
        </w:rPr>
        <w:t>disminuyó un 27.99% en 2024 en comparación con 2023</w:t>
      </w:r>
      <w:r w:rsidRPr="00AF3DE7">
        <w:rPr>
          <w:rFonts w:ascii="Roboto Thin" w:hAnsi="Roboto Thin"/>
        </w:rPr>
        <w:t>.</w:t>
      </w:r>
    </w:p>
    <w:p w14:paraId="223FEE14" w14:textId="77777777" w:rsidR="00AF3DE7" w:rsidRDefault="00AF3DE7" w:rsidP="00AF3DE7">
      <w:pPr>
        <w:rPr>
          <w:rFonts w:ascii="Roboto Thin" w:hAnsi="Roboto Thin"/>
        </w:rPr>
      </w:pPr>
    </w:p>
    <w:p w14:paraId="35DD7986" w14:textId="77777777" w:rsidR="00AF3DE7" w:rsidRDefault="00AF3DE7" w:rsidP="00AF3DE7">
      <w:pPr>
        <w:rPr>
          <w:rFonts w:ascii="Roboto Thin" w:hAnsi="Roboto Thin"/>
        </w:rPr>
      </w:pPr>
    </w:p>
    <w:p w14:paraId="6A17DFDA" w14:textId="77777777" w:rsidR="00AF3DE7" w:rsidRDefault="00AF3DE7" w:rsidP="00AF3DE7">
      <w:pPr>
        <w:rPr>
          <w:rFonts w:ascii="Roboto Thin" w:hAnsi="Roboto Thin"/>
        </w:rPr>
      </w:pPr>
    </w:p>
    <w:p w14:paraId="0F149520" w14:textId="77777777" w:rsidR="00AF3DE7" w:rsidRDefault="00AF3DE7" w:rsidP="00AF3DE7">
      <w:pPr>
        <w:rPr>
          <w:rFonts w:ascii="Roboto Thin" w:hAnsi="Roboto Thin"/>
        </w:rPr>
      </w:pPr>
    </w:p>
    <w:p w14:paraId="411EACB3" w14:textId="77777777" w:rsidR="00AF3DE7" w:rsidRDefault="00AF3DE7" w:rsidP="00AF3DE7">
      <w:pPr>
        <w:rPr>
          <w:rFonts w:ascii="Roboto Thin" w:hAnsi="Roboto Thin"/>
        </w:rPr>
      </w:pPr>
    </w:p>
    <w:p w14:paraId="74C66E9D" w14:textId="77777777" w:rsidR="00AF3DE7" w:rsidRDefault="00AF3DE7" w:rsidP="00AF3DE7">
      <w:pPr>
        <w:rPr>
          <w:rFonts w:ascii="Roboto Thin" w:hAnsi="Roboto Thin"/>
        </w:rPr>
      </w:pPr>
    </w:p>
    <w:p w14:paraId="21A9FE77" w14:textId="77777777" w:rsidR="00AF3DE7" w:rsidRPr="00AF3DE7" w:rsidRDefault="00AF3DE7" w:rsidP="00AF3DE7">
      <w:pPr>
        <w:rPr>
          <w:rFonts w:ascii="Roboto Thin" w:hAnsi="Roboto Thin"/>
        </w:rPr>
      </w:pPr>
    </w:p>
    <w:tbl>
      <w:tblPr>
        <w:tblpPr w:leftFromText="141" w:rightFromText="141" w:vertAnchor="text" w:horzAnchor="margin" w:tblpXSpec="center" w:tblpY="194"/>
        <w:tblW w:w="11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40"/>
        <w:gridCol w:w="2500"/>
        <w:gridCol w:w="2500"/>
        <w:gridCol w:w="2580"/>
      </w:tblGrid>
      <w:tr w:rsidR="00463099" w:rsidRPr="00463099" w14:paraId="5E0BA8C2" w14:textId="77777777" w:rsidTr="00463099">
        <w:trPr>
          <w:trHeight w:val="290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B7FAC" w14:textId="77777777" w:rsidR="00463099" w:rsidRPr="00463099" w:rsidRDefault="00463099" w:rsidP="00463099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b/>
                <w:bCs/>
                <w:color w:val="000000"/>
                <w:kern w:val="0"/>
                <w:lang w:eastAsia="es-MX"/>
                <w14:ligatures w14:val="none"/>
              </w:rPr>
            </w:pPr>
            <w:r w:rsidRPr="00463099">
              <w:rPr>
                <w:rFonts w:ascii="Roboto Thin" w:eastAsia="Times New Roman" w:hAnsi="Roboto Thin" w:cs="Times New Roman"/>
                <w:b/>
                <w:bCs/>
                <w:color w:val="000000"/>
                <w:kern w:val="0"/>
                <w:lang w:eastAsia="es-MX"/>
                <w14:ligatures w14:val="none"/>
              </w:rPr>
              <w:lastRenderedPageBreak/>
              <w:t>Indicador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DF2E8" w14:textId="77777777" w:rsidR="00463099" w:rsidRPr="00463099" w:rsidRDefault="00463099" w:rsidP="00463099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b/>
                <w:bCs/>
                <w:color w:val="000000"/>
                <w:kern w:val="0"/>
                <w:lang w:eastAsia="es-MX"/>
                <w14:ligatures w14:val="none"/>
              </w:rPr>
            </w:pPr>
            <w:r w:rsidRPr="00463099">
              <w:rPr>
                <w:rFonts w:ascii="Roboto Thin" w:eastAsia="Times New Roman" w:hAnsi="Roboto Thin" w:cs="Times New Roman"/>
                <w:b/>
                <w:bCs/>
                <w:color w:val="000000"/>
                <w:kern w:val="0"/>
                <w:lang w:eastAsia="es-MX"/>
                <w14:ligatures w14:val="none"/>
              </w:rPr>
              <w:t>2023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C66DB" w14:textId="77777777" w:rsidR="00463099" w:rsidRPr="00463099" w:rsidRDefault="00463099" w:rsidP="00463099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b/>
                <w:bCs/>
                <w:color w:val="000000"/>
                <w:kern w:val="0"/>
                <w:lang w:eastAsia="es-MX"/>
                <w14:ligatures w14:val="none"/>
              </w:rPr>
            </w:pPr>
            <w:r w:rsidRPr="00463099">
              <w:rPr>
                <w:rFonts w:ascii="Roboto Thin" w:eastAsia="Times New Roman" w:hAnsi="Roboto Thin" w:cs="Times New Roman"/>
                <w:b/>
                <w:bCs/>
                <w:color w:val="000000"/>
                <w:kern w:val="0"/>
                <w:lang w:eastAsia="es-MX"/>
                <w14:ligatures w14:val="none"/>
              </w:rPr>
              <w:t>2024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2985C" w14:textId="77777777" w:rsidR="00463099" w:rsidRPr="00463099" w:rsidRDefault="00463099" w:rsidP="00463099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b/>
                <w:bCs/>
                <w:color w:val="000000"/>
                <w:kern w:val="0"/>
                <w:lang w:eastAsia="es-MX"/>
                <w14:ligatures w14:val="none"/>
              </w:rPr>
            </w:pPr>
            <w:r w:rsidRPr="00463099">
              <w:rPr>
                <w:rFonts w:ascii="Roboto Thin" w:eastAsia="Times New Roman" w:hAnsi="Roboto Thin" w:cs="Times New Roman"/>
                <w:b/>
                <w:bCs/>
                <w:color w:val="000000"/>
                <w:kern w:val="0"/>
                <w:lang w:eastAsia="es-MX"/>
                <w14:ligatures w14:val="none"/>
              </w:rPr>
              <w:t>Variación</w:t>
            </w:r>
          </w:p>
        </w:tc>
      </w:tr>
      <w:tr w:rsidR="00463099" w:rsidRPr="00463099" w14:paraId="12D0E643" w14:textId="77777777" w:rsidTr="00463099">
        <w:trPr>
          <w:trHeight w:val="29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6022E" w14:textId="77777777" w:rsidR="00463099" w:rsidRPr="00463099" w:rsidRDefault="00463099" w:rsidP="00463099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463099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 xml:space="preserve">Tasa de desempleo (3er </w:t>
            </w:r>
            <w:proofErr w:type="spellStart"/>
            <w:r w:rsidRPr="00463099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trim</w:t>
            </w:r>
            <w:proofErr w:type="spellEnd"/>
            <w:r w:rsidRPr="00463099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.)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E612B" w14:textId="77777777" w:rsidR="00463099" w:rsidRPr="00463099" w:rsidRDefault="00463099" w:rsidP="00463099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463099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3.36%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2B340" w14:textId="77777777" w:rsidR="00463099" w:rsidRPr="00463099" w:rsidRDefault="00463099" w:rsidP="00463099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463099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4.23%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34D15" w14:textId="77777777" w:rsidR="00463099" w:rsidRPr="00463099" w:rsidRDefault="00463099" w:rsidP="00463099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463099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25.9%</w:t>
            </w:r>
          </w:p>
        </w:tc>
      </w:tr>
      <w:tr w:rsidR="00463099" w:rsidRPr="00463099" w14:paraId="3C584D7C" w14:textId="77777777" w:rsidTr="00463099">
        <w:trPr>
          <w:trHeight w:val="29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E64B0" w14:textId="77777777" w:rsidR="00463099" w:rsidRPr="00463099" w:rsidRDefault="00463099" w:rsidP="00463099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463099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 xml:space="preserve">Población ocupada (3er </w:t>
            </w:r>
            <w:proofErr w:type="spellStart"/>
            <w:r w:rsidRPr="00463099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trim</w:t>
            </w:r>
            <w:proofErr w:type="spellEnd"/>
            <w:r w:rsidRPr="00463099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.)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9B7A9" w14:textId="77777777" w:rsidR="00463099" w:rsidRPr="00463099" w:rsidRDefault="00463099" w:rsidP="00463099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463099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666,006 personas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7B4D2" w14:textId="77777777" w:rsidR="00463099" w:rsidRPr="00463099" w:rsidRDefault="00463099" w:rsidP="00463099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463099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643,000 personas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0C1D1" w14:textId="77777777" w:rsidR="00463099" w:rsidRPr="00463099" w:rsidRDefault="00463099" w:rsidP="00463099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463099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-3.46%</w:t>
            </w:r>
          </w:p>
        </w:tc>
      </w:tr>
      <w:tr w:rsidR="00463099" w:rsidRPr="00463099" w14:paraId="1AE9B9B7" w14:textId="77777777" w:rsidTr="00463099">
        <w:trPr>
          <w:trHeight w:val="29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170BB" w14:textId="0801A82B" w:rsidR="00463099" w:rsidRPr="00463099" w:rsidRDefault="00463099" w:rsidP="00463099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463099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Inversión Extranjera Directa</w:t>
            </w:r>
            <w:r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 xml:space="preserve"> (</w:t>
            </w:r>
            <w:r w:rsidRPr="00463099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IED 1er semestre)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E71E1" w14:textId="77777777" w:rsidR="00463099" w:rsidRPr="00463099" w:rsidRDefault="00463099" w:rsidP="00463099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463099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1,207.64 M USD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38433" w14:textId="77777777" w:rsidR="00463099" w:rsidRPr="00463099" w:rsidRDefault="00463099" w:rsidP="00463099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463099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394.13 M USD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392F5" w14:textId="77777777" w:rsidR="00463099" w:rsidRPr="00463099" w:rsidRDefault="00463099" w:rsidP="00463099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463099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-67.36%</w:t>
            </w:r>
          </w:p>
        </w:tc>
      </w:tr>
      <w:tr w:rsidR="00463099" w:rsidRPr="00463099" w14:paraId="70BA9C80" w14:textId="77777777" w:rsidTr="00463099">
        <w:trPr>
          <w:trHeight w:val="29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66CDD" w14:textId="429D3111" w:rsidR="00463099" w:rsidRPr="00463099" w:rsidRDefault="00463099" w:rsidP="00463099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463099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Inversión Extranjera Directa</w:t>
            </w:r>
            <w:r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 xml:space="preserve"> (</w:t>
            </w:r>
            <w:r w:rsidRPr="00463099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IED anual)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B036C" w14:textId="77777777" w:rsidR="00463099" w:rsidRPr="00463099" w:rsidRDefault="00463099" w:rsidP="00463099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463099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1,379 M USD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F155B" w14:textId="77777777" w:rsidR="00463099" w:rsidRPr="00463099" w:rsidRDefault="00463099" w:rsidP="00463099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463099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993 M USD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33D11" w14:textId="77777777" w:rsidR="00463099" w:rsidRPr="00463099" w:rsidRDefault="00463099" w:rsidP="00463099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463099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-27.99%</w:t>
            </w:r>
          </w:p>
        </w:tc>
      </w:tr>
      <w:tr w:rsidR="00463099" w:rsidRPr="00463099" w14:paraId="6250F745" w14:textId="77777777" w:rsidTr="00463099">
        <w:trPr>
          <w:trHeight w:val="29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2C6D9" w14:textId="77777777" w:rsidR="00463099" w:rsidRPr="00463099" w:rsidRDefault="00463099" w:rsidP="00463099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463099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Producción Nissan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33F7B" w14:textId="77777777" w:rsidR="00463099" w:rsidRPr="00463099" w:rsidRDefault="00463099" w:rsidP="00463099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463099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615,751 unidades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74AEB" w14:textId="77777777" w:rsidR="00463099" w:rsidRPr="00463099" w:rsidRDefault="00463099" w:rsidP="00463099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463099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669,941 unidades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1EF2B" w14:textId="77777777" w:rsidR="00463099" w:rsidRPr="00463099" w:rsidRDefault="00463099" w:rsidP="00463099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463099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8.80%</w:t>
            </w:r>
          </w:p>
        </w:tc>
      </w:tr>
      <w:tr w:rsidR="00463099" w:rsidRPr="00463099" w14:paraId="2F59471C" w14:textId="77777777" w:rsidTr="00463099">
        <w:trPr>
          <w:trHeight w:val="29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B0A2D" w14:textId="77777777" w:rsidR="00463099" w:rsidRPr="00463099" w:rsidRDefault="00463099" w:rsidP="00463099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463099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 xml:space="preserve">Producción Mercedes-Benz (1er </w:t>
            </w:r>
            <w:proofErr w:type="spellStart"/>
            <w:r w:rsidRPr="00463099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sem</w:t>
            </w:r>
            <w:proofErr w:type="spellEnd"/>
            <w:r w:rsidRPr="00463099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.)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24F18" w14:textId="77777777" w:rsidR="00463099" w:rsidRPr="00463099" w:rsidRDefault="00463099" w:rsidP="00463099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463099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33,300 unidades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11108" w14:textId="77777777" w:rsidR="00463099" w:rsidRPr="00463099" w:rsidRDefault="00463099" w:rsidP="00463099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463099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30,795 unidades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7140E" w14:textId="77777777" w:rsidR="00463099" w:rsidRPr="00463099" w:rsidRDefault="00463099" w:rsidP="00463099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463099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 xml:space="preserve">-7.5% (vs. 1er </w:t>
            </w:r>
            <w:proofErr w:type="spellStart"/>
            <w:r w:rsidRPr="00463099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sem</w:t>
            </w:r>
            <w:proofErr w:type="spellEnd"/>
            <w:r w:rsidRPr="00463099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. 2023)</w:t>
            </w:r>
          </w:p>
        </w:tc>
      </w:tr>
      <w:tr w:rsidR="00463099" w:rsidRPr="00463099" w14:paraId="4FA84E35" w14:textId="77777777" w:rsidTr="00463099">
        <w:trPr>
          <w:trHeight w:val="29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9D7D7" w14:textId="77777777" w:rsidR="00463099" w:rsidRPr="00463099" w:rsidRDefault="00463099" w:rsidP="00463099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463099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 xml:space="preserve">Producción </w:t>
            </w:r>
            <w:proofErr w:type="spellStart"/>
            <w:r w:rsidRPr="00463099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Infiniti</w:t>
            </w:r>
            <w:proofErr w:type="spellEnd"/>
            <w:r w:rsidRPr="00463099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 xml:space="preserve"> (1er </w:t>
            </w:r>
            <w:proofErr w:type="spellStart"/>
            <w:r w:rsidRPr="00463099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sem</w:t>
            </w:r>
            <w:proofErr w:type="spellEnd"/>
            <w:r w:rsidRPr="00463099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.)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9FE58" w14:textId="77777777" w:rsidR="00463099" w:rsidRPr="00463099" w:rsidRDefault="00463099" w:rsidP="00463099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463099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11,870 unidades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F2207" w14:textId="77777777" w:rsidR="00463099" w:rsidRPr="00463099" w:rsidRDefault="00463099" w:rsidP="00463099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463099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5,390 unidades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938E3" w14:textId="77777777" w:rsidR="00463099" w:rsidRPr="00463099" w:rsidRDefault="00463099" w:rsidP="00463099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463099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 xml:space="preserve">-54.6% (vs. 1er </w:t>
            </w:r>
            <w:proofErr w:type="spellStart"/>
            <w:r w:rsidRPr="00463099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sem</w:t>
            </w:r>
            <w:proofErr w:type="spellEnd"/>
            <w:r w:rsidRPr="00463099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. 2023)</w:t>
            </w:r>
          </w:p>
        </w:tc>
      </w:tr>
      <w:tr w:rsidR="00463099" w:rsidRPr="00463099" w14:paraId="1268E260" w14:textId="77777777" w:rsidTr="00463099">
        <w:trPr>
          <w:trHeight w:val="290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D16C2" w14:textId="77777777" w:rsidR="00463099" w:rsidRPr="00463099" w:rsidRDefault="00463099" w:rsidP="00463099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EB93E" w14:textId="77777777" w:rsidR="00463099" w:rsidRPr="00463099" w:rsidRDefault="00463099" w:rsidP="00463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52BCE" w14:textId="77777777" w:rsidR="00463099" w:rsidRPr="00463099" w:rsidRDefault="00463099" w:rsidP="00463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E6516" w14:textId="77777777" w:rsidR="00463099" w:rsidRPr="00463099" w:rsidRDefault="00463099" w:rsidP="00463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463099" w:rsidRPr="00463099" w14:paraId="0D7F4388" w14:textId="77777777" w:rsidTr="00463099">
        <w:trPr>
          <w:trHeight w:val="290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12722" w14:textId="77777777" w:rsidR="00463099" w:rsidRPr="00463099" w:rsidRDefault="00463099" w:rsidP="00463099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b/>
                <w:bCs/>
                <w:color w:val="000000"/>
                <w:kern w:val="0"/>
                <w:lang w:eastAsia="es-MX"/>
                <w14:ligatures w14:val="none"/>
              </w:rPr>
            </w:pPr>
            <w:r w:rsidRPr="00463099">
              <w:rPr>
                <w:rFonts w:ascii="Roboto Thin" w:eastAsia="Times New Roman" w:hAnsi="Roboto Thin" w:cs="Times New Roman"/>
                <w:b/>
                <w:bCs/>
                <w:color w:val="000000"/>
                <w:kern w:val="0"/>
                <w:lang w:eastAsia="es-MX"/>
                <w14:ligatures w14:val="none"/>
              </w:rPr>
              <w:t>Indicador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72E45" w14:textId="77777777" w:rsidR="00463099" w:rsidRPr="00463099" w:rsidRDefault="00463099" w:rsidP="00463099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b/>
                <w:bCs/>
                <w:color w:val="000000"/>
                <w:kern w:val="0"/>
                <w:lang w:eastAsia="es-MX"/>
                <w14:ligatures w14:val="none"/>
              </w:rPr>
            </w:pPr>
            <w:r w:rsidRPr="00463099">
              <w:rPr>
                <w:rFonts w:ascii="Roboto Thin" w:eastAsia="Times New Roman" w:hAnsi="Roboto Thin" w:cs="Times New Roman"/>
                <w:b/>
                <w:bCs/>
                <w:color w:val="000000"/>
                <w:kern w:val="0"/>
                <w:lang w:eastAsia="es-MX"/>
                <w14:ligatures w14:val="none"/>
              </w:rPr>
              <w:t>may-24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714FD" w14:textId="77777777" w:rsidR="00463099" w:rsidRPr="00463099" w:rsidRDefault="00463099" w:rsidP="00463099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b/>
                <w:bCs/>
                <w:color w:val="000000"/>
                <w:kern w:val="0"/>
                <w:lang w:eastAsia="es-MX"/>
                <w14:ligatures w14:val="none"/>
              </w:rPr>
            </w:pPr>
            <w:r w:rsidRPr="00463099">
              <w:rPr>
                <w:rFonts w:ascii="Roboto Thin" w:eastAsia="Times New Roman" w:hAnsi="Roboto Thin" w:cs="Times New Roman"/>
                <w:b/>
                <w:bCs/>
                <w:color w:val="000000"/>
                <w:kern w:val="0"/>
                <w:lang w:eastAsia="es-MX"/>
                <w14:ligatures w14:val="none"/>
              </w:rPr>
              <w:t>nov-24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CF492" w14:textId="77777777" w:rsidR="00463099" w:rsidRPr="00463099" w:rsidRDefault="00463099" w:rsidP="00463099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b/>
                <w:bCs/>
                <w:color w:val="000000"/>
                <w:kern w:val="0"/>
                <w:lang w:eastAsia="es-MX"/>
                <w14:ligatures w14:val="none"/>
              </w:rPr>
            </w:pPr>
            <w:r w:rsidRPr="00463099">
              <w:rPr>
                <w:rFonts w:ascii="Roboto Thin" w:eastAsia="Times New Roman" w:hAnsi="Roboto Thin" w:cs="Times New Roman"/>
                <w:b/>
                <w:bCs/>
                <w:color w:val="000000"/>
                <w:kern w:val="0"/>
                <w:lang w:eastAsia="es-MX"/>
                <w14:ligatures w14:val="none"/>
              </w:rPr>
              <w:t xml:space="preserve">Variación </w:t>
            </w:r>
          </w:p>
        </w:tc>
      </w:tr>
      <w:tr w:rsidR="00463099" w:rsidRPr="00463099" w14:paraId="4A178253" w14:textId="77777777" w:rsidTr="00463099">
        <w:trPr>
          <w:trHeight w:val="29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E7E9D" w14:textId="77777777" w:rsidR="00463099" w:rsidRPr="00463099" w:rsidRDefault="00463099" w:rsidP="00463099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463099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Número de negocios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C2E71" w14:textId="77777777" w:rsidR="00463099" w:rsidRPr="00463099" w:rsidRDefault="00463099" w:rsidP="00463099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463099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62,011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E83FD" w14:textId="77777777" w:rsidR="00463099" w:rsidRPr="00463099" w:rsidRDefault="00463099" w:rsidP="00463099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463099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61,782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A39C8" w14:textId="77777777" w:rsidR="00463099" w:rsidRPr="00463099" w:rsidRDefault="00463099" w:rsidP="00463099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463099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-37%</w:t>
            </w:r>
          </w:p>
        </w:tc>
      </w:tr>
    </w:tbl>
    <w:p w14:paraId="7071A8FC" w14:textId="77777777" w:rsidR="00463099" w:rsidRDefault="00463099" w:rsidP="00463099">
      <w:r>
        <w:fldChar w:fldCharType="begin"/>
      </w:r>
      <w:r>
        <w:instrText xml:space="preserve"> LINK Excel.Sheet.12 "Libro1" "Hoja1!F4C1:F14C4" \a \f 4 \h </w:instrText>
      </w:r>
      <w:r>
        <w:fldChar w:fldCharType="separate"/>
      </w:r>
    </w:p>
    <w:p w14:paraId="043068DC" w14:textId="05C095BB" w:rsidR="00F86284" w:rsidRPr="00F86284" w:rsidRDefault="00463099" w:rsidP="00F86284">
      <w:pPr>
        <w:rPr>
          <w:rFonts w:ascii="Roboto Thin" w:hAnsi="Roboto Thin"/>
          <w:b/>
          <w:bCs/>
        </w:rPr>
      </w:pPr>
      <w:r>
        <w:rPr>
          <w:rFonts w:ascii="Roboto Thin" w:hAnsi="Roboto Thin"/>
        </w:rPr>
        <w:fldChar w:fldCharType="end"/>
      </w:r>
      <w:r w:rsidR="00F86284" w:rsidRPr="00F86284">
        <w:rPr>
          <w:rFonts w:ascii="Roboto Thin" w:hAnsi="Roboto Thin"/>
          <w:b/>
          <w:bCs/>
        </w:rPr>
        <w:t>Punto de vista de un economista</w:t>
      </w:r>
    </w:p>
    <w:p w14:paraId="1DE83776" w14:textId="77777777" w:rsidR="00574416" w:rsidRDefault="00F86284" w:rsidP="00F86284">
      <w:pPr>
        <w:rPr>
          <w:rFonts w:ascii="Roboto Thin" w:hAnsi="Roboto Thin"/>
        </w:rPr>
      </w:pPr>
      <w:r w:rsidRPr="00F86284">
        <w:rPr>
          <w:rFonts w:ascii="Roboto Thin" w:hAnsi="Roboto Thin"/>
        </w:rPr>
        <w:t>Desde una perspectiva macroeconómica</w:t>
      </w:r>
      <w:r w:rsidR="00574416">
        <w:rPr>
          <w:rFonts w:ascii="Roboto Thin" w:hAnsi="Roboto Thin"/>
        </w:rPr>
        <w:t>:</w:t>
      </w:r>
    </w:p>
    <w:p w14:paraId="7E71E630" w14:textId="77777777" w:rsidR="00574416" w:rsidRDefault="00574416" w:rsidP="00574416">
      <w:pPr>
        <w:pStyle w:val="Prrafodelista"/>
        <w:numPr>
          <w:ilvl w:val="0"/>
          <w:numId w:val="5"/>
        </w:numPr>
        <w:rPr>
          <w:rFonts w:ascii="Roboto Thin" w:hAnsi="Roboto Thin"/>
        </w:rPr>
      </w:pPr>
      <w:r>
        <w:rPr>
          <w:rFonts w:ascii="Roboto Thin" w:hAnsi="Roboto Thin"/>
        </w:rPr>
        <w:t>L</w:t>
      </w:r>
      <w:r w:rsidR="00F86284" w:rsidRPr="00574416">
        <w:rPr>
          <w:rFonts w:ascii="Roboto Thin" w:hAnsi="Roboto Thin"/>
        </w:rPr>
        <w:t xml:space="preserve">a caída de la inversión extranjera directa (IED) </w:t>
      </w:r>
    </w:p>
    <w:p w14:paraId="7E67439A" w14:textId="755B4E1E" w:rsidR="001E65FE" w:rsidRPr="001E65FE" w:rsidRDefault="00574416" w:rsidP="001E65FE">
      <w:pPr>
        <w:pStyle w:val="Prrafodelista"/>
        <w:numPr>
          <w:ilvl w:val="0"/>
          <w:numId w:val="5"/>
        </w:numPr>
        <w:rPr>
          <w:rFonts w:ascii="Roboto Thin" w:hAnsi="Roboto Thin"/>
        </w:rPr>
      </w:pPr>
      <w:r>
        <w:rPr>
          <w:rFonts w:ascii="Roboto Thin" w:hAnsi="Roboto Thin"/>
        </w:rPr>
        <w:t>E</w:t>
      </w:r>
      <w:r w:rsidR="00F86284" w:rsidRPr="00574416">
        <w:rPr>
          <w:rFonts w:ascii="Roboto Thin" w:hAnsi="Roboto Thin"/>
        </w:rPr>
        <w:t xml:space="preserve">l impacto de los aranceles </w:t>
      </w:r>
      <w:r w:rsidR="001E65FE">
        <w:rPr>
          <w:rFonts w:ascii="Roboto Thin" w:hAnsi="Roboto Thin"/>
        </w:rPr>
        <w:t>impuesto del</w:t>
      </w:r>
      <w:r w:rsidR="00F86284" w:rsidRPr="00574416">
        <w:rPr>
          <w:rFonts w:ascii="Roboto Thin" w:hAnsi="Roboto Thin"/>
        </w:rPr>
        <w:t xml:space="preserve"> 25% por parte de </w:t>
      </w:r>
      <w:proofErr w:type="gramStart"/>
      <w:r w:rsidR="00F86284" w:rsidRPr="00574416">
        <w:rPr>
          <w:rFonts w:ascii="Roboto Thin" w:hAnsi="Roboto Thin"/>
        </w:rPr>
        <w:t>EE.UU.</w:t>
      </w:r>
      <w:proofErr w:type="gramEnd"/>
      <w:r w:rsidR="00F86284" w:rsidRPr="00574416">
        <w:rPr>
          <w:rFonts w:ascii="Roboto Thin" w:hAnsi="Roboto Thin"/>
        </w:rPr>
        <w:t xml:space="preserve"> </w:t>
      </w:r>
    </w:p>
    <w:p w14:paraId="50337CEA" w14:textId="6E38C080" w:rsidR="00F86284" w:rsidRPr="001E65FE" w:rsidRDefault="001E65FE" w:rsidP="001E65FE">
      <w:pPr>
        <w:rPr>
          <w:rFonts w:ascii="Roboto Thin" w:hAnsi="Roboto Thin"/>
        </w:rPr>
      </w:pPr>
      <w:r>
        <w:rPr>
          <w:rFonts w:ascii="Roboto Thin" w:hAnsi="Roboto Thin"/>
        </w:rPr>
        <w:t>L</w:t>
      </w:r>
      <w:r w:rsidR="00F86284" w:rsidRPr="001E65FE">
        <w:rPr>
          <w:rFonts w:ascii="Roboto Thin" w:hAnsi="Roboto Thin"/>
        </w:rPr>
        <w:t>o que puede provocar una disminución en la demanda de vehículos ensamblados en la región.</w:t>
      </w:r>
    </w:p>
    <w:p w14:paraId="2FCC18E7" w14:textId="4EA28C70" w:rsidR="001E65FE" w:rsidRDefault="00F86284" w:rsidP="001E65FE">
      <w:pPr>
        <w:pStyle w:val="Prrafodelista"/>
        <w:numPr>
          <w:ilvl w:val="0"/>
          <w:numId w:val="6"/>
        </w:numPr>
        <w:rPr>
          <w:rFonts w:ascii="Roboto Thin" w:hAnsi="Roboto Thin"/>
        </w:rPr>
      </w:pPr>
      <w:r w:rsidRPr="001E65FE">
        <w:rPr>
          <w:rFonts w:ascii="Roboto Thin" w:hAnsi="Roboto Thin"/>
        </w:rPr>
        <w:t>El aumento en la tasa de desempleo (de 3.36% a 4.23%</w:t>
      </w:r>
      <w:proofErr w:type="gramStart"/>
      <w:r w:rsidRPr="001E65FE">
        <w:rPr>
          <w:rFonts w:ascii="Roboto Thin" w:hAnsi="Roboto Thin"/>
        </w:rPr>
        <w:t xml:space="preserve">) </w:t>
      </w:r>
      <w:r w:rsidR="001E65FE">
        <w:rPr>
          <w:rFonts w:ascii="Roboto Thin" w:hAnsi="Roboto Thin"/>
        </w:rPr>
        <w:t>.</w:t>
      </w:r>
      <w:proofErr w:type="gramEnd"/>
    </w:p>
    <w:p w14:paraId="11736A1C" w14:textId="287B6C20" w:rsidR="001E65FE" w:rsidRDefault="001E65FE" w:rsidP="001E65FE">
      <w:pPr>
        <w:pStyle w:val="Prrafodelista"/>
        <w:numPr>
          <w:ilvl w:val="0"/>
          <w:numId w:val="6"/>
        </w:numPr>
        <w:rPr>
          <w:rFonts w:ascii="Roboto Thin" w:hAnsi="Roboto Thin"/>
        </w:rPr>
      </w:pPr>
      <w:r>
        <w:rPr>
          <w:rFonts w:ascii="Roboto Thin" w:hAnsi="Roboto Thin"/>
        </w:rPr>
        <w:t>L</w:t>
      </w:r>
      <w:r w:rsidRPr="001E65FE">
        <w:rPr>
          <w:rFonts w:ascii="Roboto Thin" w:hAnsi="Roboto Thin"/>
        </w:rPr>
        <w:t>a reducción en el número de establecimientos según el DENUE sugiere una desaceleración en la actividad empresari</w:t>
      </w:r>
      <w:r>
        <w:rPr>
          <w:rFonts w:ascii="Roboto Thin" w:hAnsi="Roboto Thin"/>
        </w:rPr>
        <w:t>al</w:t>
      </w:r>
    </w:p>
    <w:p w14:paraId="624BF14D" w14:textId="2134C907" w:rsidR="00F86284" w:rsidRPr="001E65FE" w:rsidRDefault="001E65FE" w:rsidP="001E65FE">
      <w:pPr>
        <w:rPr>
          <w:rFonts w:ascii="Roboto Thin" w:hAnsi="Roboto Thin"/>
        </w:rPr>
      </w:pPr>
      <w:r>
        <w:rPr>
          <w:rFonts w:ascii="Roboto Thin" w:hAnsi="Roboto Thin"/>
        </w:rPr>
        <w:t>I</w:t>
      </w:r>
      <w:r w:rsidR="00F86284" w:rsidRPr="001E65FE">
        <w:rPr>
          <w:rFonts w:ascii="Roboto Thin" w:hAnsi="Roboto Thin"/>
        </w:rPr>
        <w:t xml:space="preserve">ndican que la economía local está enfrentando dificultades. Esto podría generar un efecto negativo en la demanda de vivienda, ya que una </w:t>
      </w:r>
      <w:r w:rsidR="00F86284" w:rsidRPr="004E0D4A">
        <w:rPr>
          <w:rFonts w:ascii="Roboto Thin" w:hAnsi="Roboto Thin"/>
          <w:b/>
          <w:bCs/>
        </w:rPr>
        <w:t>menor estabilidad laboral reduce la capacidad de compra de la población</w:t>
      </w:r>
      <w:r w:rsidR="00F86284" w:rsidRPr="001E65FE">
        <w:rPr>
          <w:rFonts w:ascii="Roboto Thin" w:hAnsi="Roboto Thin"/>
        </w:rPr>
        <w:t>.</w:t>
      </w:r>
    </w:p>
    <w:p w14:paraId="1674FE14" w14:textId="77777777" w:rsidR="00F86284" w:rsidRPr="00F86284" w:rsidRDefault="00F86284" w:rsidP="00F86284">
      <w:pPr>
        <w:rPr>
          <w:rFonts w:ascii="Roboto Thin" w:hAnsi="Roboto Thin"/>
        </w:rPr>
      </w:pPr>
      <w:r w:rsidRPr="00F86284">
        <w:rPr>
          <w:rFonts w:ascii="Roboto Thin" w:hAnsi="Roboto Thin"/>
        </w:rPr>
        <w:t>En términos del mercado inmobiliario, este panorama sugiere una posible desaceleración en la venta de viviendas</w:t>
      </w:r>
      <w:r w:rsidRPr="00F86284">
        <w:rPr>
          <w:rFonts w:ascii="Roboto Thin" w:hAnsi="Roboto Thin"/>
          <w:b/>
          <w:bCs/>
        </w:rPr>
        <w:t>, especialmente en segmentos de clase media y media-alta, donde los compradores dependen de financiamiento y estabilidad laboral</w:t>
      </w:r>
      <w:r w:rsidRPr="00F86284">
        <w:rPr>
          <w:rFonts w:ascii="Roboto Thin" w:hAnsi="Roboto Thin"/>
        </w:rPr>
        <w:t>.</w:t>
      </w:r>
    </w:p>
    <w:p w14:paraId="19E580D3" w14:textId="5EBC1892" w:rsidR="00F86284" w:rsidRPr="00F86284" w:rsidRDefault="00F86284" w:rsidP="00F86284">
      <w:pPr>
        <w:rPr>
          <w:rFonts w:ascii="Roboto Thin" w:hAnsi="Roboto Thin"/>
        </w:rPr>
      </w:pPr>
      <w:r w:rsidRPr="00F86284">
        <w:rPr>
          <w:rFonts w:ascii="Roboto Thin" w:hAnsi="Roboto Thin"/>
        </w:rPr>
        <w:t xml:space="preserve">Analizando los datos históricos, podemos identificar tendencias preocupantes en Aguascalientes. </w:t>
      </w:r>
      <w:r w:rsidRPr="00F86284">
        <w:rPr>
          <w:rFonts w:ascii="Roboto Thin" w:hAnsi="Roboto Thin"/>
          <w:b/>
          <w:bCs/>
        </w:rPr>
        <w:t>La caída del empleo y la inversión extranjera, junto con la reducción del número de establecimientos, son señales de una contracción económica en curso</w:t>
      </w:r>
      <w:r w:rsidRPr="00F86284">
        <w:rPr>
          <w:rFonts w:ascii="Roboto Thin" w:hAnsi="Roboto Thin"/>
        </w:rPr>
        <w:t xml:space="preserve">. </w:t>
      </w:r>
    </w:p>
    <w:p w14:paraId="148BE803" w14:textId="40F8B726" w:rsidR="00F86284" w:rsidRPr="00F86284" w:rsidRDefault="00632360" w:rsidP="00F86284">
      <w:pPr>
        <w:rPr>
          <w:rFonts w:ascii="Roboto Thin" w:hAnsi="Roboto Thin"/>
        </w:rPr>
      </w:pPr>
      <w:r>
        <w:rPr>
          <w:rFonts w:ascii="Roboto Thin" w:hAnsi="Roboto Thin"/>
        </w:rPr>
        <w:t>La</w:t>
      </w:r>
      <w:r w:rsidR="00F86284" w:rsidRPr="00F86284">
        <w:rPr>
          <w:rFonts w:ascii="Roboto Thin" w:hAnsi="Roboto Thin"/>
        </w:rPr>
        <w:t xml:space="preserve"> caída de la inversión extranjera y la reducción en la actividad económica podrían llevar a una menor disponibilidad de crédito hipotecario y tasas de interés más restrictivas para los compradores. </w:t>
      </w:r>
      <w:r w:rsidR="00F86284" w:rsidRPr="00F86284">
        <w:rPr>
          <w:rFonts w:ascii="Roboto Thin" w:hAnsi="Roboto Thin"/>
          <w:b/>
          <w:bCs/>
        </w:rPr>
        <w:t>Si los bancos perciben un mayor riesgo en el empleo y la estabilidad económica, es probable que reduzcan su exposición en el sector inmobiliario, lo que dificultará el financiamiento para nuevos compradores</w:t>
      </w:r>
      <w:r w:rsidR="00F86284" w:rsidRPr="00F86284">
        <w:rPr>
          <w:rFonts w:ascii="Roboto Thin" w:hAnsi="Roboto Thin"/>
        </w:rPr>
        <w:t>.</w:t>
      </w:r>
    </w:p>
    <w:p w14:paraId="729A61EB" w14:textId="241BCA63" w:rsidR="00463099" w:rsidRPr="00463099" w:rsidRDefault="00463099" w:rsidP="00463099">
      <w:pPr>
        <w:rPr>
          <w:rFonts w:ascii="Roboto Thin" w:hAnsi="Roboto Thin"/>
        </w:rPr>
      </w:pPr>
    </w:p>
    <w:sectPr w:rsidR="00463099" w:rsidRPr="0046309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 Thin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D3E5D"/>
    <w:multiLevelType w:val="hybridMultilevel"/>
    <w:tmpl w:val="833AC5F0"/>
    <w:lvl w:ilvl="0" w:tplc="080A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" w15:restartNumberingAfterBreak="0">
    <w:nsid w:val="20FC1C9E"/>
    <w:multiLevelType w:val="hybridMultilevel"/>
    <w:tmpl w:val="1B8E8BE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BB0CA6"/>
    <w:multiLevelType w:val="hybridMultilevel"/>
    <w:tmpl w:val="CCAC809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9B7BF5"/>
    <w:multiLevelType w:val="hybridMultilevel"/>
    <w:tmpl w:val="9490E1F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140566"/>
    <w:multiLevelType w:val="hybridMultilevel"/>
    <w:tmpl w:val="738C4EA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446E6D"/>
    <w:multiLevelType w:val="hybridMultilevel"/>
    <w:tmpl w:val="3E302F4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412442">
    <w:abstractNumId w:val="3"/>
  </w:num>
  <w:num w:numId="2" w16cid:durableId="1688556994">
    <w:abstractNumId w:val="4"/>
  </w:num>
  <w:num w:numId="3" w16cid:durableId="1756508961">
    <w:abstractNumId w:val="2"/>
  </w:num>
  <w:num w:numId="4" w16cid:durableId="1652631701">
    <w:abstractNumId w:val="1"/>
  </w:num>
  <w:num w:numId="5" w16cid:durableId="93981499">
    <w:abstractNumId w:val="0"/>
  </w:num>
  <w:num w:numId="6" w16cid:durableId="9641143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099"/>
    <w:rsid w:val="000434A7"/>
    <w:rsid w:val="000E46D9"/>
    <w:rsid w:val="001E65FE"/>
    <w:rsid w:val="002271A7"/>
    <w:rsid w:val="0045301D"/>
    <w:rsid w:val="00463099"/>
    <w:rsid w:val="004E0D4A"/>
    <w:rsid w:val="00537926"/>
    <w:rsid w:val="00574416"/>
    <w:rsid w:val="00632360"/>
    <w:rsid w:val="00727F98"/>
    <w:rsid w:val="00977B5B"/>
    <w:rsid w:val="00983177"/>
    <w:rsid w:val="00A969B1"/>
    <w:rsid w:val="00AF3DE7"/>
    <w:rsid w:val="00B96DEF"/>
    <w:rsid w:val="00E726A6"/>
    <w:rsid w:val="00F86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96785"/>
  <w15:chartTrackingRefBased/>
  <w15:docId w15:val="{DEC2F806-F725-49AE-9475-0BA8FC7D2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630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630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630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630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630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630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630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630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630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630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630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630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6309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6309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6309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6309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6309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6309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630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630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630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630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630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6309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6309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6309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630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6309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630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88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571</Words>
  <Characters>3146</Characters>
  <Application>Microsoft Office Word</Application>
  <DocSecurity>0</DocSecurity>
  <Lines>26</Lines>
  <Paragraphs>7</Paragraphs>
  <ScaleCrop>false</ScaleCrop>
  <Company/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olaf gonzalez guzman</dc:creator>
  <cp:keywords/>
  <dc:description/>
  <cp:lastModifiedBy>julio olaf gonzalez guzman</cp:lastModifiedBy>
  <cp:revision>14</cp:revision>
  <dcterms:created xsi:type="dcterms:W3CDTF">2025-04-03T19:50:00Z</dcterms:created>
  <dcterms:modified xsi:type="dcterms:W3CDTF">2025-04-03T21:17:00Z</dcterms:modified>
</cp:coreProperties>
</file>